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5.png" ContentType="image/png"/>
  <Override PartName="/word/media/rId69.png" ContentType="image/png"/>
  <Override PartName="/word/media/rId54.png" ContentType="image/png"/>
  <Override PartName="/word/media/rId50.png" ContentType="image/png"/>
  <Override PartName="/word/media/rId41.png" ContentType="image/png"/>
  <Override PartName="/word/media/rId62.png" ContentType="image/png"/>
  <Override PartName="/word/media/rId92.png" ContentType="image/png"/>
  <Override PartName="/word/media/rId84.png" ContentType="image/png"/>
  <Override PartName="/word/media/rId98.png" ContentType="image/png"/>
  <Override PartName="/word/media/rId79.png" ContentType="image/png"/>
  <Override PartName="/word/media/rId111.jpg" ContentType="image/jpeg"/>
  <Override PartName="/word/media/rId115.jpg" ContentType="image/jpeg"/>
  <Override PartName="/word/media/rId120.jpg" ContentType="image/jpeg"/>
  <Override PartName="/word/media/rId129.jpg" ContentType="image/jpeg"/>
  <Override PartName="/word/media/rId134.jpg" ContentType="image/jpeg"/>
  <Override PartName="/word/media/rId139.jpg" ContentType="image/jpeg"/>
  <Override PartName="/word/media/rId147.jpg" ContentType="image/jpeg"/>
  <Override PartName="/word/media/rId151.jpg" ContentType="image/jpeg"/>
  <Override PartName="/word/media/rId156.jpg" ContentType="image/jpeg"/>
  <Override PartName="/word/media/rId107.png" ContentType="image/png"/>
  <Override PartName="/word/media/rId143.png" ContentType="image/png"/>
  <Override PartName="/word/media/rId163.png" ContentType="image/png"/>
  <Override PartName="/word/media/rId174.png" ContentType="image/png"/>
  <Override PartName="/word/media/rId236.png" ContentType="image/png"/>
  <Override PartName="/word/media/rId241.png" ContentType="image/png"/>
  <Override PartName="/word/media/rId246.png" ContentType="image/png"/>
  <Override PartName="/word/media/rId252.png" ContentType="image/png"/>
  <Override PartName="/word/media/rId256.png" ContentType="image/png"/>
  <Override PartName="/word/media/rId184.png" ContentType="image/png"/>
  <Override PartName="/word/media/rId191.png" ContentType="image/png"/>
  <Override PartName="/word/media/rId209.png" ContentType="image/png"/>
  <Override PartName="/word/media/rId214.png" ContentType="image/png"/>
  <Override PartName="/word/media/rId218.png" ContentType="image/png"/>
  <Override PartName="/word/media/rId222.png" ContentType="image/png"/>
  <Override PartName="/word/media/rId226.png" ContentType="image/png"/>
  <Override PartName="/word/media/rId231.png" ContentType="image/png"/>
  <Override PartName="/word/media/rId179.png" ContentType="image/png"/>
  <Override PartName="/word/media/rId195.png" ContentType="image/png"/>
  <Override PartName="/word/media/rId320.png" ContentType="image/png"/>
  <Override PartName="/word/media/rId305.png" ContentType="image/png"/>
  <Override PartName="/word/media/rId295.png" ContentType="image/png"/>
  <Override PartName="/word/media/rId273.png" ContentType="image/png"/>
  <Override PartName="/word/media/rId283.png" ContentType="image/png"/>
  <Override PartName="/word/media/rId309.png" ContentType="image/png"/>
  <Override PartName="/word/media/rId291.png" ContentType="image/png"/>
  <Override PartName="/word/media/rId268.png" ContentType="image/png"/>
  <Override PartName="/word/media/rId331.png" ContentType="image/png"/>
  <Override PartName="/word/media/rId300.png" ContentType="image/png"/>
  <Override PartName="/word/media/rId23.png" ContentType="image/png"/>
  <Override PartName="/word/media/rId30.png" ContentType="image/png"/>
  <Override PartName="/word/media/rId34.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0"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Start w:id="39" w:name="project-related-to-the-thesis."/>
    <w:p>
      <w:pPr>
        <w:pStyle w:val="Heading2"/>
      </w:pPr>
      <w:r>
        <w:t xml:space="preserve">Project related to the thesis.</w:t>
      </w:r>
    </w:p>
    <w:bookmarkStart w:id="33"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5943600" cy="1040130"/>
            <wp:effectExtent b="0" l="0" r="0" t="0"/>
            <wp:docPr descr="" title="" id="31" name="Picture"/>
            <a:graphic>
              <a:graphicData uri="http://schemas.openxmlformats.org/drawingml/2006/picture">
                <pic:pic>
                  <pic:nvPicPr>
                    <pic:cNvPr descr="images/logos_BICOME.png" id="32" name="Picture"/>
                    <pic:cNvPicPr>
                      <a:picLocks noChangeArrowheads="1" noChangeAspect="1"/>
                    </pic:cNvPicPr>
                  </pic:nvPicPr>
                  <pic:blipFill>
                    <a:blip r:embed="rId30"/>
                    <a:stretch>
                      <a:fillRect/>
                    </a:stretch>
                  </pic:blipFill>
                  <pic:spPr bwMode="auto">
                    <a:xfrm>
                      <a:off x="0" y="0"/>
                      <a:ext cx="5943600" cy="1040130"/>
                    </a:xfrm>
                    <a:prstGeom prst="rect">
                      <a:avLst/>
                    </a:prstGeom>
                    <a:noFill/>
                    <a:ln w="9525">
                      <a:noFill/>
                      <a:headEnd/>
                      <a:tailEnd/>
                    </a:ln>
                  </pic:spPr>
                </pic:pic>
              </a:graphicData>
            </a:graphic>
          </wp:inline>
        </w:drawing>
      </w:r>
    </w:p>
    <w:bookmarkEnd w:id="33"/>
    <w:bookmarkStart w:id="37" w:name="rewrite"/>
    <w:p>
      <w:pPr>
        <w:pStyle w:val="Heading3"/>
      </w:pPr>
      <w:r>
        <w:t xml:space="preserve">Rewrite</w:t>
      </w:r>
    </w:p>
    <w:p>
      <w:pPr>
        <w:pStyle w:val="FirstParagraph"/>
      </w:pPr>
      <w:r>
        <w:drawing>
          <wp:inline>
            <wp:extent cx="2377440" cy="567130"/>
            <wp:effectExtent b="0" l="0" r="0" t="0"/>
            <wp:docPr descr="" title="" id="35" name="Picture"/>
            <a:graphic>
              <a:graphicData uri="http://schemas.openxmlformats.org/drawingml/2006/picture">
                <pic:pic>
                  <pic:nvPicPr>
                    <pic:cNvPr descr="images/rewrite-logo.png" id="36" name="Picture"/>
                    <pic:cNvPicPr>
                      <a:picLocks noChangeArrowheads="1" noChangeAspect="1"/>
                    </pic:cNvPicPr>
                  </pic:nvPicPr>
                  <pic:blipFill>
                    <a:blip r:embed="rId34"/>
                    <a:stretch>
                      <a:fillRect/>
                    </a:stretch>
                  </pic:blipFill>
                  <pic:spPr bwMode="auto">
                    <a:xfrm>
                      <a:off x="0" y="0"/>
                      <a:ext cx="2377440" cy="567130"/>
                    </a:xfrm>
                    <a:prstGeom prst="rect">
                      <a:avLst/>
                    </a:prstGeom>
                    <a:noFill/>
                    <a:ln w="9525">
                      <a:noFill/>
                      <a:headEnd/>
                      <a:tailEnd/>
                    </a:ln>
                  </pic:spPr>
                </pic:pic>
              </a:graphicData>
            </a:graphic>
          </wp:inline>
        </w:drawing>
      </w:r>
      <w:r>
        <w:t xml:space="preserve"> </w:t>
      </w: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bookmarkEnd w:id="37"/>
    <w:bookmarkStart w:id="38"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bookmarkEnd w:id="38"/>
    <w:bookmarkEnd w:id="39"/>
    <w:bookmarkEnd w:id="40"/>
    <w:bookmarkStart w:id="105" w:name="introduction"/>
    <w:p>
      <w:pPr>
        <w:pStyle w:val="Heading1"/>
      </w:pPr>
      <w:r>
        <w:t xml:space="preserve">1. Introduction</w:t>
      </w:r>
    </w:p>
    <w:bookmarkStart w:id="6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Additionally, they play a pivotal role in global trade and commerce while also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Valle et al. (2013)</w:t>
      </w:r>
      <w:r>
        <w:t xml:space="preserve">. .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chich degrade these ecosystems. Seagrass meadows are threatened by various anthropogenic activities</w:t>
      </w:r>
      <w:r>
        <w:t xml:space="preserve"> </w:t>
      </w:r>
      <w:r>
        <w:t xml:space="preserve">(Len J. McKenzie et al., 2020a)</w:t>
      </w:r>
      <w:r>
        <w:t xml:space="preserve">, microphytobenthos are affected by the global decline of intertidal mudflats</w:t>
      </w:r>
      <w:r>
        <w:t xml:space="preserve"> </w:t>
      </w:r>
      <w:r>
        <w:t xml:space="preserve">(Nicholas J. Murray et al., 2019a)</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CO2 fixation, contributing to carbon sequestration and combating climate change</w:t>
      </w:r>
      <w:r>
        <w:t xml:space="preserve"> </w:t>
      </w:r>
      <w:r>
        <w:t xml:space="preserve">Saderne et al. (2019)</w:t>
      </w:r>
      <w:r>
        <w:t xml:space="preserve">, serving as biodiversity hotspots that support unique flora and fauna, providing feeding, breeding, and nursery grounds for various species</w:t>
      </w:r>
      <w:r>
        <w:t xml:space="preserve"> </w:t>
      </w:r>
      <w:r>
        <w:t xml:space="preserve">Sanabria-Fernández et al. (2024)</w:t>
      </w:r>
      <w:r>
        <w:t xml:space="preserve">.</w:t>
      </w:r>
      <w:r>
        <w:t xml:space="preserve"> </w:t>
      </w:r>
      <w:r>
        <w:t xml:space="preserve">Despite their ecological significance and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45"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periodically submerged and exposed to tidal activity, as well as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 The functionality of many coastal ecosystems is intrinsically linked to land-sea interactions, as observed in deltas and estuaries.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 However, these areas are also exposed to a variety of land-based and marine hazards, including storms, tropical cyclones, storm surges, tsunamis, riverine flooding, shoreline erosion, sea-level rise and biohazards such as algal blooms and pollutants.</w:t>
      </w:r>
    </w:p>
    <w:tbl>
      <w:tblPr>
        <w:tblStyle w:val="Table"/>
        <w:tblW w:type="pct" w:w="5000"/>
        <w:tblLayout w:type="fixed"/>
        <w:tblLook w:firstRow="0" w:lastRow="0" w:firstColumn="0" w:lastColumn="0" w:noHBand="0" w:noVBand="0" w:val="0000"/>
      </w:tblPr>
      <w:tblGrid>
        <w:gridCol w:w="7920"/>
      </w:tblGrid>
      <w:tr>
        <w:tc>
          <w:tcPr/>
          <w:bookmarkStart w:id="44" w:name="fig-CoastalHabitat"/>
          <w:p>
            <w:pPr>
              <w:pStyle w:val="Compact"/>
              <w:jc w:val="center"/>
            </w:pPr>
            <w:r>
              <w:drawing>
                <wp:inline>
                  <wp:extent cx="5884164" cy="4413123"/>
                  <wp:effectExtent b="0" l="0" r="0" t="0"/>
                  <wp:docPr descr="" title="" id="42" name="Picture"/>
                  <a:graphic>
                    <a:graphicData uri="http://schemas.openxmlformats.org/drawingml/2006/picture">
                      <pic:pic>
                        <pic:nvPicPr>
                          <pic:cNvPr descr="Chapter1/Figs/Picture_habitat/CoastalHabitats_Lowres.png" id="43" name="Picture"/>
                          <pic:cNvPicPr>
                            <a:picLocks noChangeArrowheads="1" noChangeAspect="1"/>
                          </pic:cNvPicPr>
                        </pic:nvPicPr>
                        <pic:blipFill>
                          <a:blip r:embed="rId41"/>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w:t>
            </w:r>
            <w:r>
              <w:t xml:space="preserve"> </w:t>
            </w:r>
            <w:r>
              <w:rPr>
                <w:b/>
                <w:bCs/>
              </w:rPr>
              <w:t xml:space="preserve">A</w:t>
            </w:r>
            <w:r>
              <w:t xml:space="preserve">: Upper shore and dunal vegetation of Pen Bron, France, on the 15th of May 2023.</w:t>
            </w:r>
            <w:r>
              <w:t xml:space="preserve"> </w:t>
            </w:r>
            <w:r>
              <w:rPr>
                <w:b/>
                <w:bCs/>
              </w:rPr>
              <w:t xml:space="preserve">B</w:t>
            </w:r>
            <w:r>
              <w:t xml:space="preserve">: Rocky shore of the Galician coastaline. Picture took at Baiona, Spain on the 1st of September 2023.</w:t>
            </w:r>
            <w:r>
              <w:t xml:space="preserve"> </w:t>
            </w:r>
            <w:r>
              <w:rPr>
                <w:b/>
                <w:bCs/>
              </w:rPr>
              <w:t xml:space="preserve">C</w:t>
            </w:r>
            <w:r>
              <w:t xml:space="preserve">: Tidal flat of the Guadlquivir river, Spain. Picture took near of Trebujena, Spain on the 22nd of March 2023.</w:t>
            </w:r>
            <w:r>
              <w:t xml:space="preserve"> </w:t>
            </w:r>
            <w:r>
              <w:rPr>
                <w:b/>
                <w:bCs/>
              </w:rPr>
              <w:t xml:space="preserve">D</w:t>
            </w:r>
            <w:r>
              <w:t xml:space="preserve">: Submerged seagrass meadows in Greece. Picture took at Nauplie, Greece on the 29th of October 2023.</w:t>
            </w:r>
          </w:p>
          <w:bookmarkEnd w:id="44"/>
        </w:tc>
      </w:tr>
    </w:tbl>
    <w:p>
      <w:pPr>
        <w:pStyle w:val="BodyText"/>
      </w:pPr>
      <w:r>
        <w:t xml:space="preserve">Coastal ecosystems provide a range of ecosystem services that are fundamental to environmental sustainability and human well-being. These ecosystems function as natural barriers against storm surges and coastal flooding, thereby mitigating the impacts of such hazards on inland regions and safeguarding human lives and infrastructure. They support significant biodiversity, serving as critical habitats and breeding grounds for numerous species, including commercially valuable fish, shellfish, and other marine organisms that sustain global fisheries. Coastal vegetation, including mangroves, salt marshes, and seagrasses,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 These ecosystems are integral to nutrient cycling, ensuring the continued productivity of adjacent marine environments. Additionally, they provide substantial cultural, educational, and recreational opportunities, drawing global attention and fostering an intrinsic human connection to nature. This societal value contributes directly to local and regional economies through industries such as tourism, artisanal fishing, and related enterprises. Furthermore, coastal ecosystems supply essential natural resources, including seafood and plant-based materials, while supporting sustainable aquaculture practices that promote global food security and bolster local livelihoods. Collectively, these functions highlight the indispensable ecological and economic importance of coastal ecosystems.</w:t>
      </w:r>
    </w:p>
    <w:bookmarkEnd w:id="45"/>
    <w:bookmarkStart w:id="4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Currently, approximately 2 billion people reside within 50 kilometers of coastlines, with nearly 1 billion living within 10 kilometers. This represents nearly 15% of the global population occupying only 4% of the Earth’s inhabitable landmass. Projections indicate that coastal populations will continue to rise, potentially reaching 2.9 billion by 2100 under various socioeconomic scenarios.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w:t>
      </w:r>
      <w:r>
        <w:t xml:space="preserve"> </w:t>
      </w:r>
      <w:hyperlink r:id="rId46">
        <w:r>
          <w:rPr>
            <w:rStyle w:val="Hyperlink"/>
          </w:rPr>
          <w:t xml:space="preserve">Coastal tourism</w:t>
        </w:r>
      </w:hyperlink>
      <w:r>
        <w:t xml:space="preserve"> </w:t>
      </w:r>
      <w:r>
        <w:t xml:space="preserve">is a significant driver of economic growth, particularly in regions like the European Union (EU). In 2021, the EU’s coastal tourism sector generated approximately €49.9 billion in Gross Value Added (GVA) and employed around 1.9 million people.</w:t>
      </w:r>
      <w:r>
        <w:t xml:space="preserve"> </w:t>
      </w:r>
      <w:hyperlink r:id="rId47">
        <w:r>
          <w:rPr>
            <w:rStyle w:val="Hyperlink"/>
          </w:rPr>
          <w:t xml:space="preserve">Coastal fishing</w:t>
        </w:r>
      </w:hyperlink>
      <w:r>
        <w:t xml:space="preserve"> </w:t>
      </w:r>
      <w:r>
        <w:t xml:space="preserve">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 Additionally,</w:t>
      </w:r>
      <w:r>
        <w:t xml:space="preserve"> </w:t>
      </w:r>
      <w:hyperlink r:id="rId48">
        <w:r>
          <w:rPr>
            <w:rStyle w:val="Hyperlink"/>
          </w:rPr>
          <w:t xml:space="preserve">maritime shipping</w:t>
        </w:r>
      </w:hyperlink>
      <w:r>
        <w:t xml:space="preserve"> </w:t>
      </w:r>
      <w:r>
        <w:t xml:space="preserve">is the backbone of international trade, with approximately 80% of global trade by volume and over 70% by value transported via sea routes. This extensive reliance on maritime transport underscores the critical importance of coastal infrastructure, including ports and harbors, in facilitating the movement of goods worldwide. However, the intensive exploitation of coastal environments for human activities has led to significant ecological challenges.</w:t>
      </w:r>
    </w:p>
    <w:p>
      <w:pPr>
        <w:pStyle w:val="BodyText"/>
      </w:pPr>
      <w:r>
        <w:t xml:space="preserve">For instance, marine shipping contributes about 3% of global greenhouse gas emissions, a figure projected to rise by up to 50% by mid-century if stringent measures are not implemented</w:t>
      </w:r>
      <w:r>
        <w:t xml:space="preserve"> </w:t>
      </w:r>
      <w:r>
        <w:t xml:space="preserve">(Jasper Faber, 2021)</w:t>
      </w:r>
      <w:r>
        <w:t xml:space="preserve">. Additionally, shipping activities lead to marine pollution, including oil spills, ballast water discharge and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occurred in December 2024 in the Kerch Strait, where 3,700 tons of oil were released, underscore the persistent and significant risks. Such events highlight the necessity for stringent preventive measures and rapid response mechanisms to mitigate the ongoing threat posed by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 Elevated noise levels can disrupt communication, navigation, and feeding behaviors, leading to increased stress and altered migration patterns. Chronic exposure to underwater noise can also result in physical harm and population-level impacts.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w:t>
      </w:r>
      <w:r>
        <w:t xml:space="preserve"> </w:t>
      </w:r>
      <w:r>
        <w:t xml:space="preserve">The expansion of aquaculture operations often involves converting coastal wetlands, into fish or shrimp ponds, or constructing structures over mudflats. These activities usually conflict with ecosystem conservation, as both uses compete for limited space. Change of land-use into aquaculture facilities reduces the availability of essential nursery habitats for marine species and diminishes the ecosystem services provided by these natural habitats, such as carbon sequestration, shoreline stabilization, and water filtration. Additionally, aquaculture activities contribute to nutrient enrichment and pollution in adjacent waters through the release of uneaten feed, feces, and chemical additives, exacerbating eutrophication and altering benthic community structures. Another significant concern is the introduction of alien invasive species into the environment through aquaculture, which can disrupt local ecosystems and biodiversity.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bookmarkEnd w:id="49"/>
    <w:bookmarkStart w:id="6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Nicholas J. Murray et al. (2019a)</w:t>
      </w:r>
      <w:r>
        <w:t xml:space="preserve"> </w:t>
      </w:r>
      <w:r>
        <w:t xml:space="preserve">using a satellite time series have shown that tidal flats have declined by approximately 16% from 1984 to 2016, representing a net loss of over 20,000 km² (</w:t>
      </w:r>
      <w:hyperlink w:anchor="fig-TidalFlats">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TidalFlats"/>
          <w:p>
            <w:pPr>
              <w:pStyle w:val="Compact"/>
              <w:jc w:val="center"/>
            </w:pPr>
            <w:r>
              <w:drawing>
                <wp:inline>
                  <wp:extent cx="4754880" cy="3556397"/>
                  <wp:effectExtent b="0" l="0" r="0" t="0"/>
                  <wp:docPr descr="" title="" id="51" name="Picture"/>
                  <a:graphic>
                    <a:graphicData uri="http://schemas.openxmlformats.org/drawingml/2006/picture">
                      <pic:pic>
                        <pic:nvPicPr>
                          <pic:cNvPr descr="Chapter1/Figs/Murray_Tidalflats.png" id="52" name="Picture"/>
                          <pic:cNvPicPr>
                            <a:picLocks noChangeArrowheads="1" noChangeAspect="1"/>
                          </pic:cNvPicPr>
                        </pic:nvPicPr>
                        <pic:blipFill>
                          <a:blip r:embed="rId50"/>
                          <a:stretch>
                            <a:fillRect/>
                          </a:stretch>
                        </pic:blipFill>
                        <pic:spPr bwMode="auto">
                          <a:xfrm>
                            <a:off x="0" y="0"/>
                            <a:ext cx="4754880" cy="35563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global trajectory of tidal flats extent, showing areas in which the development of consistent time-series data over 1984–2016 (orange) and 1999–2016 (orange and blue) was possible. b, Change in extent of tidal flats in 17.1% of the mapped area, 1984–2016 (linear regression, P = 0.00437). c, Change in extent of tidal flats in 61.3% of the mapped area, 1999–2016 (linear regression, P = 0.1794). Shading in b and c indicates the standard error of the linear model. From</w:t>
            </w:r>
            <w:r>
              <w:t xml:space="preserve"> </w:t>
            </w:r>
            <w:r>
              <w:t xml:space="preserve">Nicholas J. Murray et al. (2019a)</w:t>
            </w:r>
          </w:p>
          <w:bookmarkEnd w:id="5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(Nicholas J. Murray et al., 2019a)</w:t>
      </w:r>
      <w:r>
        <w:t xml:space="preserve">.</w:t>
      </w:r>
    </w:p>
    <w:p>
      <w:pPr>
        <w:pStyle w:val="BodyText"/>
      </w:pPr>
      <w:r>
        <w:t xml:space="preserve">A potential solution to limit the disappearance of tidal flats is to protect the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bookmarkStart w:id="5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MPBpictures">
        <w:r>
          <w:rPr>
            <w:rStyle w:val="Hyperlink"/>
          </w:rPr>
          <w:t xml:space="preserve">Figure 1.3</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w:t>
      </w:r>
      <w:hyperlink w:anchor="fig-MPBpictures">
        <w:r>
          <w:rPr>
            <w:rStyle w:val="Hyperlink"/>
          </w:rPr>
          <w:t xml:space="preserve">Figure 1.3</w:t>
        </w:r>
      </w:hyperlink>
      <w:r>
        <w:t xml:space="preserve"> </w:t>
      </w:r>
      <w:r>
        <w:t xml:space="preserve">A) that can extend over several square kilometers</w:t>
      </w:r>
      <w:r>
        <w:t xml:space="preserve"> </w:t>
      </w:r>
      <w:r>
        <w:t xml:space="preserve">(Benyoucef et al., 2014)</w:t>
      </w:r>
      <w:r>
        <w:t xml:space="preserve">.</w:t>
      </w:r>
    </w:p>
    <w:tbl>
      <w:tblPr>
        <w:tblStyle w:val="Table"/>
        <w:tblW w:type="pct" w:w="5000"/>
        <w:tblLayout w:type="fixed"/>
        <w:tblLook w:firstRow="0" w:lastRow="0" w:firstColumn="0" w:lastColumn="0" w:noHBand="0" w:noVBand="0" w:val="0000"/>
      </w:tblPr>
      <w:tblGrid>
        <w:gridCol w:w="7920"/>
      </w:tblGrid>
      <w:tr>
        <w:tc>
          <w:tcPr/>
          <w:bookmarkStart w:id="57" w:name="fig-MPBpictures"/>
          <w:p>
            <w:pPr>
              <w:pStyle w:val="Compact"/>
              <w:jc w:val="center"/>
            </w:pPr>
            <w:r>
              <w:drawing>
                <wp:inline>
                  <wp:extent cx="5943600" cy="2359609"/>
                  <wp:effectExtent b="0" l="0" r="0" t="0"/>
                  <wp:docPr descr="" title="" id="55" name="Picture"/>
                  <a:graphic>
                    <a:graphicData uri="http://schemas.openxmlformats.org/drawingml/2006/picture">
                      <pic:pic>
                        <pic:nvPicPr>
                          <pic:cNvPr descr="Chapter1/Figs/MPB/MPB_pictures.png" id="56" name="Picture"/>
                          <pic:cNvPicPr>
                            <a:picLocks noChangeArrowheads="1" noChangeAspect="1"/>
                          </pic:cNvPicPr>
                        </pic:nvPicPr>
                        <pic:blipFill>
                          <a:blip r:embed="rId54"/>
                          <a:stretch>
                            <a:fillRect/>
                          </a:stretch>
                        </pic:blipFill>
                        <pic:spPr bwMode="auto">
                          <a:xfrm>
                            <a:off x="0" y="0"/>
                            <a:ext cx="5943600" cy="23596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Picture of the sampling of microphytobenthos biofilm in the Guadalquivir river, on the 22nd of March 2023 (A) and a single diatoms cell (B), likely</w:t>
            </w:r>
            <w:r>
              <w:t xml:space="preserve"> </w:t>
            </w:r>
            <w:r>
              <w:rPr>
                <w:i/>
                <w:iCs/>
              </w:rPr>
              <w:t xml:space="preserve">Navicula spp.</w:t>
            </w:r>
            <w:r>
              <w:t xml:space="preserve"> </w:t>
            </w:r>
            <w:r>
              <w:t xml:space="preserve">took using a scanning transmission electron microscope by Alexandre Barnett.</w:t>
            </w:r>
          </w:p>
          <w:bookmarkEnd w:id="57"/>
        </w:tc>
      </w:tr>
    </w:tbl>
    <w:p>
      <w:pPr>
        <w:pStyle w:val="BodyText"/>
      </w:pPr>
      <w:r>
        <w:t xml:space="preserve">The MPB fulfills both structural and trophic functions within intertidal mudflats. Structurally, microphytobenthic biofilms decelerate sediment resuspension and enhance mudflat stability by mitigating erosive processes</w:t>
      </w:r>
      <w:r>
        <w:t xml:space="preserve"> </w:t>
      </w:r>
      <w:r>
        <w:t xml:space="preserve">(Decho, 2000)</w:t>
      </w:r>
      <w:r>
        <w:t xml:space="preserve">. Trophically, they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58"/>
    <w:bookmarkStart w:id="5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
        <w:r>
          <w:rPr>
            <w:rStyle w:val="Hyperlink"/>
          </w:rPr>
          <w:t xml:space="preserve">Figure 3.2</w:t>
        </w:r>
      </w:hyperlink>
      <w:r>
        <w:t xml:space="preserve"> </w:t>
      </w:r>
      <w:r>
        <w:t xml:space="preserve">D).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coaastal ecosystems, contributing substantially to the productivity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conditions of eutrophication—excessive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2021a; Sun et al., 2022)</w:t>
      </w:r>
      <w:r>
        <w:t xml:space="preserve">.</w:t>
      </w:r>
    </w:p>
    <w:bookmarkEnd w:id="59"/>
    <w:bookmarkStart w:id="6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
        <w:r>
          <w:rPr>
            <w:rStyle w:val="Hyperlink"/>
          </w:rPr>
          <w:t xml:space="preserve">Figure 3.2</w:t>
        </w:r>
      </w:hyperlink>
      <w:r>
        <w:t xml:space="preserve"> </w:t>
      </w:r>
      <w:r>
        <w:t xml:space="preserve">B).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but as also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60"/>
    <w:bookmarkStart w:id="6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
        <w:r>
          <w:rPr>
            <w:rStyle w:val="Hyperlink"/>
          </w:rPr>
          <w:t xml:space="preserve">Figure 3.2</w:t>
        </w:r>
      </w:hyperlink>
      <w:r>
        <w:t xml:space="preserve"> </w:t>
      </w:r>
      <w:r>
        <w:t xml:space="preserve">C).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w:t>
      </w:r>
    </w:p>
    <w:p>
      <w:pPr>
        <w:pStyle w:val="BodyText"/>
      </w:pPr>
      <w:r>
        <w:t xml:space="preserve">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61"/>
    <w:bookmarkStart w:id="66" w:name="magnoliopsida"/>
    <w:p>
      <w:pPr>
        <w:pStyle w:val="Heading4"/>
      </w:pPr>
      <w:r>
        <w:t xml:space="preserve">1.1.3.5 Magnoliopsida</w:t>
      </w:r>
    </w:p>
    <w:p>
      <w:pPr>
        <w:pStyle w:val="FirstParagraph"/>
      </w:pPr>
      <w:r>
        <w:t xml:space="preserve">Intertidal seagrass meadows,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1.4</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2019a)</w:t>
      </w:r>
      <w:r>
        <w:t xml:space="preserve">. By cycling nutrients and contributing organic matter through detritus production, intertidal seagrass meadows enhance the ecological productivity and resilience of tidal flats, underscoring their critical role in supporting both ecological functions and socio-economic benefits.</w:t>
      </w:r>
    </w:p>
    <w:p>
      <w:pPr>
        <w:pStyle w:val="BodyText"/>
      </w:pPr>
      <w:r>
        <w:t xml:space="preserve">Seagrass meadows, like tidal flats, are undergoing significant declines on a global scale due to a variety of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1.4</w:t>
        </w:r>
      </w:hyperlink>
      <w:r>
        <w:t xml:space="preserve"> </w:t>
      </w:r>
      <w:r>
        <w:t xml:space="preserve">(e), the proportion of publications focusing on seagrasses in the context of coastal ecosystem studies is considerably lower than those dedicated to other key habitats such as coral reefs, mangroves, and salt marshes. This disparity highlights a critical research gap, underscoring the need for increased scientific attention to better understand and mitigate the factors contributing to the degradation of these vital ecosystems.</w:t>
      </w:r>
    </w:p>
    <w:tbl>
      <w:tblPr>
        <w:tblStyle w:val="Table"/>
        <w:tblW w:type="pct" w:w="5000"/>
        <w:tblLayout w:type="fixed"/>
        <w:tblLook w:firstRow="0" w:lastRow="0" w:firstColumn="0" w:lastColumn="0" w:noHBand="0" w:noVBand="0" w:val="0000"/>
      </w:tblPr>
      <w:tblGrid>
        <w:gridCol w:w="7920"/>
      </w:tblGrid>
      <w:tr>
        <w:tc>
          <w:tcPr/>
          <w:bookmarkStart w:id="65" w:name="fig-SeagrassHabitat"/>
          <w:p>
            <w:pPr>
              <w:pStyle w:val="Compact"/>
              <w:jc w:val="center"/>
            </w:pPr>
            <w:r>
              <w:drawing>
                <wp:inline>
                  <wp:extent cx="5943600" cy="7991317"/>
                  <wp:effectExtent b="0" l="0" r="0" t="0"/>
                  <wp:docPr descr="" title="" id="63" name="Picture"/>
                  <a:graphic>
                    <a:graphicData uri="http://schemas.openxmlformats.org/drawingml/2006/picture">
                      <pic:pic>
                        <pic:nvPicPr>
                          <pic:cNvPr descr="Chapter1/Figs/Publication_habitat/Seagrass_habitats.png" id="64" name="Picture"/>
                          <pic:cNvPicPr>
                            <a:picLocks noChangeArrowheads="1" noChangeAspect="1"/>
                          </pic:cNvPicPr>
                        </pic:nvPicPr>
                        <pic:blipFill>
                          <a:blip r:embed="rId6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Seagrass meadows are beautiful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Edited from</w:t>
            </w:r>
            <w:r>
              <w:t xml:space="preserve"> </w:t>
            </w:r>
            <w:r>
              <w:t xml:space="preserve">R. K. Unsworth et al. (2019a)</w:t>
            </w:r>
            <w:r>
              <w:t xml:space="preserve">.</w:t>
            </w:r>
          </w:p>
          <w:bookmarkEnd w:id="65"/>
        </w:tc>
      </w:tr>
    </w:tbl>
    <w:p>
      <w:r>
        <w:br w:type="page"/>
      </w:r>
    </w:p>
    <w:bookmarkEnd w:id="66"/>
    <w:bookmarkEnd w:id="67"/>
    <w:bookmarkEnd w:id="68"/>
    <w:bookmarkStart w:id="103"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to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bookmarkStart w:id="73" w:name="active-remote-sensing-example-of-lidar"/>
    <w:p>
      <w:pPr>
        <w:pStyle w:val="Heading3"/>
      </w:pPr>
      <w:r>
        <w:t xml:space="preserve">1.2.1 Active Remote Sensing, Example of LiDAR</w:t>
      </w:r>
    </w:p>
    <w:p>
      <w:pPr>
        <w:pStyle w:val="FirstParagraph"/>
      </w:pPr>
      <w:r>
        <w:t xml:space="preserve">Active remote sensing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w:t>
      </w:r>
      <w:r>
        <w:t xml:space="preserve"> </w:t>
      </w:r>
      <w:hyperlink w:anchor="fig-LIDAR">
        <w:r>
          <w:rPr>
            <w:rStyle w:val="Hyperlink"/>
          </w:rPr>
          <w:t xml:space="preserve">Figure 1.5</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72" w:name="fig-LIDAR"/>
          <w:p>
            <w:pPr>
              <w:pStyle w:val="Compact"/>
              <w:jc w:val="center"/>
            </w:pPr>
            <w:r>
              <w:drawing>
                <wp:inline>
                  <wp:extent cx="4160520" cy="4147803"/>
                  <wp:effectExtent b="0" l="0" r="0" t="0"/>
                  <wp:docPr descr="" title="" id="70" name="Picture"/>
                  <a:graphic>
                    <a:graphicData uri="http://schemas.openxmlformats.org/drawingml/2006/picture">
                      <pic:pic>
                        <pic:nvPicPr>
                          <pic:cNvPr descr="Chapter1/Figs/LIDAR.png" id="71" name="Picture"/>
                          <pic:cNvPicPr>
                            <a:picLocks noChangeArrowheads="1" noChangeAspect="1"/>
                          </pic:cNvPicPr>
                        </pic:nvPicPr>
                        <pic:blipFill>
                          <a:blip r:embed="rId6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Diagram showing several signal-return for a single emitted beams of a LIDAR system. adapted from</w:t>
            </w:r>
          </w:p>
          <w:bookmarkEnd w:id="72"/>
        </w:tc>
      </w:tr>
    </w:tbl>
    <w:p>
      <w:pPr>
        <w:pStyle w:val="BodyText"/>
      </w:pPr>
      <w:r>
        <w:t xml:space="preserve">Achieving accurate 3D measurements of a target using LiDAR technology requires a high level of precision in assessing each parameter of the system.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a high degree of precision. To achieve this, Real-Time Kinematic (RTK) positioning systems are commonly employed.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not only diminish the reliability of the data but also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is used to map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2021)</w:t>
      </w:r>
      <w:r>
        <w:t xml:space="preserve"> </w:t>
      </w:r>
      <w:r>
        <w:t xml:space="preserve">consists in high-resolution bathymetric and topographic maps in coastal areas, created using LiDAR technologies. During airborne missions, the system captures terrestrial and submerged terrain features with exceptional precision. The topographic LiDAR achieves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used along with a water height dataset to assess the emersion time of seagrass meadows in Quiberon, France, during low tide. Since this thesis focuses on intertidal environment mapping, field campaigns were conducted during low tide to ensure optimal conditions for the effective use of NIR LiDAR providing unobstructed access to exposed intertidal zones.</w:t>
      </w:r>
    </w:p>
    <w:bookmarkEnd w:id="73"/>
    <w:bookmarkStart w:id="97" w:name="passive-remote-sensing"/>
    <w:p>
      <w:pPr>
        <w:pStyle w:val="Heading3"/>
      </w:pPr>
      <w:r>
        <w:t xml:space="preserve">1.2.2 Passive Remote Sensing</w:t>
      </w:r>
    </w:p>
    <w:p>
      <w:pPr>
        <w:pStyle w:val="FirstParagraph"/>
      </w:pPr>
      <w:r>
        <w:t xml:space="preserve">Passive remote sensing is a method of collecting data about the Earth’s surface or atmosphere by measuring naturally emitted or sunlight-reflected electromagnetic radiation without actively transmitting signals. This technique relies on energy sources external to the instrument, such as sunlight for optical and near-infrared sensors or Earth’s thermal emissions for thermal infrared sensors.</w:t>
      </w:r>
    </w:p>
    <w:p>
      <w:pPr>
        <w:pStyle w:val="BodyText"/>
      </w:pPr>
      <w:r>
        <w:t xml:space="preserve">Passive remote sensing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 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w:t>
      </w:r>
    </w:p>
    <w:p>
      <w:pPr>
        <w:pStyle w:val="BodyText"/>
      </w:pPr>
      <w:r>
        <w:t xml:space="preserve">When sunlight reaches Earth’s surface, it exhibits several behaviors, depending on the surface properties and the angle of incidence. These behaviors include:</w:t>
      </w:r>
    </w:p>
    <w:p>
      <w:pPr>
        <w:numPr>
          <w:ilvl w:val="0"/>
          <w:numId w:val="1003"/>
        </w:numPr>
      </w:pPr>
      <w:r>
        <w:t xml:space="preserve">Absorption: The light is absorbed by the surface,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The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remote sensing, to quantify electromagnetic radiation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7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7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w:t>
      </w:r>
    </w:p>
    <w:tbl>
      <w:tblPr>
        <w:tblStyle w:val="Table"/>
        <w:tblW w:type="pct" w:w="5000"/>
        <w:tblLayout w:type="fixed"/>
        <w:tblLook w:firstRow="0" w:lastRow="0" w:firstColumn="0" w:lastColumn="0" w:noHBand="0" w:noVBand="0" w:val="0000"/>
      </w:tblPr>
      <w:tblGrid>
        <w:gridCol w:w="7920"/>
      </w:tblGrid>
      <w:tr>
        <w:tc>
          <w:tcPr/>
          <w:bookmarkStart w:id="78" w:name="fig-FigLightPath"/>
          <w:p>
            <w:pPr>
              <w:pStyle w:val="Compact"/>
              <w:jc w:val="center"/>
            </w:pPr>
            <w:r>
              <w:drawing>
                <wp:inline>
                  <wp:extent cx="5349240" cy="4260589"/>
                  <wp:effectExtent b="0" l="0" r="0" t="0"/>
                  <wp:docPr descr="" title="" id="76" name="Picture"/>
                  <a:graphic>
                    <a:graphicData uri="http://schemas.openxmlformats.org/drawingml/2006/picture">
                      <pic:pic>
                        <pic:nvPicPr>
                          <pic:cNvPr descr="Chapter1/Figs/FigLightPath.png" id="77" name="Picture"/>
                          <pic:cNvPicPr>
                            <a:picLocks noChangeArrowheads="1" noChangeAspect="1"/>
                          </pic:cNvPicPr>
                        </pic:nvPicPr>
                        <pic:blipFill>
                          <a:blip r:embed="rId7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7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arise also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of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vegetations types result in different spectral patterns, enabling their differentiation and monitoring of ecological conditions over time (</w:t>
      </w:r>
      <w:hyperlink w:anchor="fig-Spectral_signature">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Spectral_signature"/>
          <w:p>
            <w:pPr>
              <w:pStyle w:val="Compact"/>
              <w:jc w:val="center"/>
            </w:pPr>
            <w:r>
              <w:drawing>
                <wp:inline>
                  <wp:extent cx="4754880" cy="3987354"/>
                  <wp:effectExtent b="0" l="0" r="0" t="0"/>
                  <wp:docPr descr="" title="" id="80" name="Picture"/>
                  <a:graphic>
                    <a:graphicData uri="http://schemas.openxmlformats.org/drawingml/2006/picture">
                      <pic:pic>
                        <pic:nvPicPr>
                          <pic:cNvPr descr="Chapter1/Figs/spectral_signatures.png" id="81" name="Picture"/>
                          <pic:cNvPicPr>
                            <a:picLocks noChangeArrowheads="1" noChangeAspect="1"/>
                          </pic:cNvPicPr>
                        </pic:nvPicPr>
                        <pic:blipFill>
                          <a:blip r:embed="rId7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spectral signature of vegetation (green), Water (blue) and bare soil (red). Absorption features of Chlorophyll-a are indicated for the spectra of vegetation.</w:t>
            </w:r>
          </w:p>
          <w:bookmarkEnd w:id="8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8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8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infrared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serves as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habitats or vegetations</w:t>
      </w:r>
      <w:r>
        <w:t xml:space="preserve"> </w:t>
      </w:r>
      <w:r>
        <w:t xml:space="preserve">(Vona Méléder et al., 2003)</w:t>
      </w:r>
      <w:r>
        <w:t xml:space="preserve">. While this simple first approximation can be useful for delimitating contrasting types of targets, establishing thresholds depends on specific sensor characteristics and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2021a)</w:t>
      </w:r>
    </w:p>
    <w:p>
      <w:pPr>
        <w:pStyle w:val="BodyText"/>
      </w:pPr>
      <m:oMath>
        <m:sSub>
          <m:e>
            <m:r>
              <m:t>R</m:t>
            </m:r>
          </m:e>
          <m:sub>
            <m:r>
              <m:t>B</m:t>
            </m:r>
            <m:r>
              <m:t>O</m:t>
            </m:r>
            <m:r>
              <m:t>A</m:t>
            </m:r>
          </m:sub>
        </m:sSub>
      </m:oMath>
      <w:r>
        <w:t xml:space="preserve"> </w:t>
      </w:r>
      <w:r>
        <w:t xml:space="preserve">can be used to identify key absorption features of chemical compounds of the traget,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that have weaker absorption features compared to Chla.</w:t>
      </w:r>
    </w:p>
    <w:bookmarkStart w:id="91" w:name="remote-sensing-resolutions"/>
    <w:p>
      <w:pPr>
        <w:pStyle w:val="Heading4"/>
      </w:pPr>
      <w:r>
        <w:t xml:space="preserve">1.2.2.1 Remote Sensing resolutions</w:t>
      </w:r>
    </w:p>
    <w:bookmarkStart w:id="88" w:name="spectral-and-radiometric-resolution"/>
    <w:p>
      <w:pPr>
        <w:pStyle w:val="Heading5"/>
      </w:pPr>
      <w:r>
        <w:t xml:space="preserve">1.2.2.1.1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7" w:name="fig-Spectral_resolutions"/>
          <w:p>
            <w:pPr>
              <w:pStyle w:val="Compact"/>
              <w:jc w:val="center"/>
            </w:pPr>
            <w:r>
              <w:drawing>
                <wp:inline>
                  <wp:extent cx="5943600" cy="3130355"/>
                  <wp:effectExtent b="0" l="0" r="0" t="0"/>
                  <wp:docPr descr="" title="" id="85" name="Picture"/>
                  <a:graphic>
                    <a:graphicData uri="http://schemas.openxmlformats.org/drawingml/2006/picture">
                      <pic:pic>
                        <pic:nvPicPr>
                          <pic:cNvPr descr="Chapter1/Figs/Spectra_resolutions/Fig_SpectralResolution_chouchou.png" id="86" name="Picture"/>
                          <pic:cNvPicPr>
                            <a:picLocks noChangeArrowheads="1" noChangeAspect="1"/>
                          </pic:cNvPicPr>
                        </pic:nvPicPr>
                        <pic:blipFill>
                          <a:blip r:embed="rId8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Comparison of spectral resolution between multispectral (A) and hyperspectral (B) sensors in the solar radiance spectrum. Panel C illustrates the impact of spectral resolution on the same spectral signature of Gracilaria vermiculophylla. With hyperspectral resolution (red), absorption features of pigments such as phycocyanin and phycoerythrin are distinguishable, whereas these features are absent in the multispectral resolution provided by Sentinel-2 (green). D is showing exemple of different radiometric resolutions for the same band of a Sentinel-2 tile. One is coded in 12 bits (left) and the other is coded in 6 bits (right).</w:t>
            </w:r>
          </w:p>
          <w:bookmarkEnd w:id="87"/>
        </w:tc>
      </w:tr>
    </w:tbl>
    <w:p>
      <w:pPr>
        <w:pStyle w:val="BodyText"/>
      </w:pPr>
      <w:r>
        <w:t xml:space="preserve">Remote sensing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These bands are separated by small spectral sampling intervals, often just a few nanometers, which results in a much finer spectral details.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w:t>
      </w:r>
      <w:r>
        <w:t xml:space="preserve"> </w:t>
      </w:r>
      <w:r>
        <w:t xml:space="preserve">Another specification of sensors in the spectral discrimination is the radiometric resolution. It refers to th precision at which the data are recorded by the sensor.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1.8</w:t>
        </w:r>
      </w:hyperlink>
      <w:r>
        <w:t xml:space="preserve"> </w:t>
      </w:r>
      <w:r>
        <w:t xml:space="preserve">D).</w:t>
      </w:r>
    </w:p>
    <w:bookmarkEnd w:id="88"/>
    <w:bookmarkStart w:id="89" w:name="spatial-resolution"/>
    <w:p>
      <w:pPr>
        <w:pStyle w:val="Heading5"/>
      </w:pPr>
      <w:r>
        <w:t xml:space="preserve">1.2.2.1.2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meters for visible and near-infrared bands, 20 meters for red-edge and shortwave infrared bands, and 60 meters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high resolution requires increased data storage and processing capacity, illustrating the trade-off between detail and operational feasibility.</w:t>
      </w:r>
    </w:p>
    <w:p>
      <w:pPr>
        <w:pStyle w:val="BodyText"/>
      </w:pPr>
      <w:r>
        <w:t xml:space="preserve">In scenarios involving mixed vegetation types or intricate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89"/>
    <w:bookmarkStart w:id="90" w:name="temporal-resolutions"/>
    <w:p>
      <w:pPr>
        <w:pStyle w:val="Heading5"/>
      </w:pPr>
      <w:r>
        <w:t xml:space="preserve">1.2.2.1.3 Temporal Resolutions</w:t>
      </w:r>
    </w:p>
    <w:p>
      <w:pPr>
        <w:pStyle w:val="FirstParagraph"/>
      </w:pPr>
      <w:r>
        <w:t xml:space="preserve">Another key characteristic of remote sensing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Temporal resolution varies significantly depending on the sensor’s design and mission. 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1.9</w:t>
        </w:r>
      </w:hyperlink>
      <w:r>
        <w:t xml:space="preserve">).</w:t>
      </w:r>
    </w:p>
    <w:p>
      <w:pPr>
        <w:pStyle w:val="BodyText"/>
      </w:pPr>
      <w:r>
        <w:t xml:space="preserve">In contrast, some sensors are operated on-demand, with data acquisition triggered directly by the user. This is particularly characteristic of drones and specialized satellite missions like Pleiades or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90"/>
    <w:bookmarkEnd w:id="91"/>
    <w:bookmarkStart w:id="96" w:name="a-story-of-trade-off"/>
    <w:p>
      <w:pPr>
        <w:pStyle w:val="Heading4"/>
      </w:pPr>
      <w:r>
        <w:t xml:space="preserve">1.2.2.2 A story of trade off</w:t>
      </w:r>
    </w:p>
    <w:p>
      <w:pPr>
        <w:pStyle w:val="FirstParagraph"/>
      </w:pPr>
      <w:r>
        <w:t xml:space="preserve">Remote sensing involves inherent trade-offs between spatial resolution, temporal resolution, and coverage area, which influence the suitability of sensors for different applications (</w:t>
      </w:r>
      <w:hyperlink w:anchor="fig-ResolutionSatellite">
        <w:r>
          <w:rPr>
            <w:rStyle w:val="Hyperlink"/>
          </w:rPr>
          <w:t xml:space="preserve">Figure 1.9</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or the mapping of coral reef health.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95" w:name="fig-ResolutionSatellite"/>
          <w:p>
            <w:pPr>
              <w:pStyle w:val="Compact"/>
              <w:jc w:val="center"/>
            </w:pPr>
            <w:r>
              <w:drawing>
                <wp:inline>
                  <wp:extent cx="5943600" cy="3500222"/>
                  <wp:effectExtent b="0" l="0" r="0" t="0"/>
                  <wp:docPr descr="" title="" id="93" name="Picture"/>
                  <a:graphic>
                    <a:graphicData uri="http://schemas.openxmlformats.org/drawingml/2006/picture">
                      <pic:pic>
                        <pic:nvPicPr>
                          <pic:cNvPr descr="Chapter1/Figs/Satellite_resolution.png" id="94" name="Picture"/>
                          <pic:cNvPicPr>
                            <a:picLocks noChangeArrowheads="1" noChangeAspect="1"/>
                          </pic:cNvPicPr>
                        </pic:nvPicPr>
                        <pic:blipFill>
                          <a:blip r:embed="rId92"/>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Intersection of spectral resolutions (x-axis), temporal resolutions (y-axis), and spatial resolutions (circle size) of the main satellite sensors used to observe coastal areas.</w:t>
            </w:r>
          </w:p>
          <w:bookmarkEnd w:id="95"/>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variability, coastal erosion trends, and seasonal changes in primary productivity over larger geographic extents. For example, instruments like MODIS or VIIRS are well-suited for observing ocean color and Chla concentrations, which are critical for understanding broader ecosystem health in coastal zones.</w:t>
      </w:r>
    </w:p>
    <w:p>
      <w:pPr>
        <w:pStyle w:val="BodyText"/>
      </w:pPr>
      <w:r>
        <w:t xml:space="preserve">Intermediate-resolution sensors provide a compromise, offering sufficient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bookmarkEnd w:id="96"/>
    <w:bookmarkEnd w:id="97"/>
    <w:bookmarkStart w:id="102" w:name="X6e0637a84264a80c0e5f6545e17679d348073aa"/>
    <w:p>
      <w:pPr>
        <w:pStyle w:val="Heading3"/>
      </w:pPr>
      <w:r>
        <w:t xml:space="preserve">1.2.3 Remote Sensing applied to Coastal monitoring</w:t>
      </w:r>
    </w:p>
    <w:p>
      <w:pPr>
        <w:pStyle w:val="FirstParagraph"/>
      </w:pPr>
      <w:r>
        <w:t xml:space="preserve">Coastal environments represent highly dynamic and sensitive ecosystems shaped by complex interactions between natural processes and human activities. Remote sensing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the quantification of spatial and temporal variations, informing evidence-based strategies for conservation and sustainable management.</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 (Muller-Karger et al., 2018).</w:t>
      </w:r>
    </w:p>
    <w:p>
      <w:pPr>
        <w:pStyle w:val="BodyText"/>
      </w:pPr>
      <w:r>
        <w:t xml:space="preserve">These frameworks address the need for scalable and harmonized observations, aligning with international directives like the Water Framework Directive (WFD) and the Marine Strategy Framework Directive (MSFD), which use habitat diversity as an indicator of aquatic health</w:t>
      </w:r>
      <w:r>
        <w:t xml:space="preserve"> </w:t>
      </w:r>
      <w:r>
        <w:t xml:space="preserve">(Borja et al., 2013; E. Papathanasopoulou et al., 2019; Zoffoli et al., 2021a)</w:t>
      </w:r>
      <w:r>
        <w:t xml:space="preserve">. Beyond enabling environmental monitoring, EBVs and EOVs provide a foundation for conservation strategies by addressing knowledge gaps and promoting coordinated action among stakeholders.</w:t>
      </w:r>
    </w:p>
    <w:tbl>
      <w:tblPr>
        <w:tblStyle w:val="Table"/>
        <w:tblW w:type="pct" w:w="5000"/>
        <w:tblLayout w:type="fixed"/>
        <w:tblLook w:firstRow="0" w:lastRow="0" w:firstColumn="0" w:lastColumn="0" w:noHBand="0" w:noVBand="0" w:val="0000"/>
      </w:tblPr>
      <w:tblGrid>
        <w:gridCol w:w="7920"/>
      </w:tblGrid>
      <w:tr>
        <w:tc>
          <w:tcPr/>
          <w:bookmarkStart w:id="101" w:name="fig-MullerKarger"/>
          <w:p>
            <w:pPr>
              <w:pStyle w:val="Compact"/>
              <w:jc w:val="center"/>
            </w:pPr>
            <w:r>
              <w:drawing>
                <wp:inline>
                  <wp:extent cx="5370954" cy="3613620"/>
                  <wp:effectExtent b="0" l="0" r="0" t="0"/>
                  <wp:docPr descr="" title="" id="99" name="Picture"/>
                  <a:graphic>
                    <a:graphicData uri="http://schemas.openxmlformats.org/drawingml/2006/picture">
                      <pic:pic>
                        <pic:nvPicPr>
                          <pic:cNvPr descr="Chapter1/Figs/muller_EBVs.png" id="100" name="Picture"/>
                          <pic:cNvPicPr>
                            <a:picLocks noChangeArrowheads="1" noChangeAspect="1"/>
                          </pic:cNvPicPr>
                        </pic:nvPicPr>
                        <pic:blipFill>
                          <a:blip r:embed="rId98"/>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Current capabilities of remotely sensed data for measuring Essential Biodiversity Variables (EBVs;</w:t>
            </w:r>
            <w:r>
              <w:t xml:space="preserve"> </w:t>
            </w:r>
            <w:r>
              <w:t xml:space="preserve">Pereira et al. (2013a)</w:t>
            </w:r>
            <w:r>
              <w:t xml:space="preserve">). Adapted from</w:t>
            </w:r>
            <w:r>
              <w:t xml:space="preserve"> </w:t>
            </w:r>
            <w:r>
              <w:t xml:space="preserve">F. E. Muller-Karger et al. (2018)</w:t>
            </w:r>
            <w:r>
              <w:t xml:space="preserve">.</w:t>
            </w:r>
          </w:p>
          <w:bookmarkEnd w:id="101"/>
        </w:tc>
      </w:tr>
    </w:tbl>
    <w:p>
      <w:pPr>
        <w:pStyle w:val="BodyText"/>
      </w:pPr>
      <w:r>
        <w:t xml:space="preserve">Developments in remote sensing have further improved the applicability of EBVs and EOVs</w:t>
      </w:r>
      <w:r>
        <w:t xml:space="preserve">(Pereira et al., 2013a; Skidmore et al., 2015)</w:t>
      </w:r>
      <w:r>
        <w:t xml:space="preserve">. High-resolution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remote sensing tools advances ecological monitoring and decision-making at global scales. However, past and current satellite missions lack optimal technical specifications (spatial, spectral, and temporal resolution) for full operational capability</w:t>
      </w:r>
      <w:r>
        <w:t xml:space="preserve"> </w:t>
      </w:r>
      <w:r>
        <w:t xml:space="preserve">(F. E. Muller-Karger et al., 2018)</w:t>
      </w:r>
      <w:r>
        <w:t xml:space="preserve">. For some habitats, multispectral resolution may be adequate under certain conditions</w:t>
      </w:r>
      <w:r>
        <w:t xml:space="preserve"> </w:t>
      </w:r>
      <w:r>
        <w:t xml:space="preserve">(Zoffoli et al., 2020a)</w:t>
      </w:r>
      <w:r>
        <w:t xml:space="preserve">, although risks of classification errors remain. For others, higher spectral resolution is necessary to distinguish taxonomically distinct groups of organisms</w:t>
      </w:r>
      <w:r>
        <w:t xml:space="preserve"> </w:t>
      </w:r>
      <w:r>
        <w:t xml:space="preserve">(S. Fyfe, 2003; Launeau et al., 2018; Méléder et al., 2018)</w:t>
      </w:r>
      <w:r>
        <w:t xml:space="preserve">. Identification relies partly on the presence of visible absorption bands associated with photosynthetic and accessory pigments, which can be detected and quantified using high-performance liquid chromatography</w:t>
      </w:r>
      <w:r>
        <w:t xml:space="preserve"> </w:t>
      </w:r>
      <w:r>
        <w:t xml:space="preserve">(A. Bargain et al., 2013a; Jesus et al., 2014; Méléder et al., 2005; V. Méléder et al., 2003)</w:t>
      </w:r>
      <w:r>
        <w:t xml:space="preserve">.</w:t>
      </w:r>
    </w:p>
    <w:bookmarkEnd w:id="102"/>
    <w:bookmarkEnd w:id="103"/>
    <w:bookmarkStart w:id="104" w:name="objectifs-and-overview"/>
    <w:p>
      <w:pPr>
        <w:pStyle w:val="Heading2"/>
      </w:pPr>
      <w:r>
        <w:t xml:space="preserve">1.3 Objectifs and Overview</w:t>
      </w:r>
    </w:p>
    <w:p>
      <w:pPr>
        <w:pStyle w:val="FirstParagraph"/>
      </w:pPr>
      <w:r>
        <w:t xml:space="preserve">Discriminating between different types of intertidal vegetation using remote sensing poses significant challenges due to overlapping spectral signature in the visible and near-infrared spectral regions caused by similar pigment compositions. This issue is particularly pronounced when comparing green macroalgae and seagrass. In addition to chlorophyll-a, a pigment found in all vegetal cells, both green macroalgae and seagrass share the same accessory pigments such as chlorophyll-b and carotenoids. These shared pigments pronounce analogous reflectance patterns, making it difficult to differentiate between these vegetation types using conventional remote sensing techniques, especially in heterogenous habitats where these species often co exist. Despite these challenges, advances in spectral resolution and machine learning provide avenues for improved classification. The descrimination of vegetation type trhought remote sensing rely on differences in their spectral signature. The variability of spectral signatures of vegetation as been well studied for terrestrial plant, to our knowleadge, no studies has been performed on the variability of spectral signature of marine vegetation under stress conditions.</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 and hyperspectral satellite missions (Pleiades, Sentinel-2, and PRISMA), as well as a multispectral drone sensor, for the discrimination of green macrophytes from low tide soft-bottom intertidal areas when exposed using remote sensing.</w:t>
      </w:r>
    </w:p>
    <w:p>
      <w:pPr>
        <w:numPr>
          <w:ilvl w:val="0"/>
          <w:numId w:val="1004"/>
        </w:numPr>
      </w:pPr>
      <w:r>
        <w:t xml:space="preserve">Building an algorithms able to descriminate amoug the 5 most commun taxonomic classes of vegetation found on soft sediment intertidal substrats.</w:t>
      </w:r>
    </w:p>
    <w:p>
      <w:pPr>
        <w:numPr>
          <w:ilvl w:val="0"/>
          <w:numId w:val="1004"/>
        </w:numPr>
      </w:pPr>
      <w:r>
        <w:t xml:space="preserve">Investigate the capacity of remote sensing to monitor coastal environment under abiotic and biotic pressures.</w:t>
      </w:r>
    </w:p>
    <w:p>
      <w:pPr>
        <w:pStyle w:val="FirstParagraph"/>
      </w:pPr>
      <w:r>
        <w:rPr>
          <w:b/>
          <w:bCs/>
        </w:rPr>
        <w:t xml:space="preserve">Chapter 2</w:t>
      </w:r>
      <w:r>
        <w:t xml:space="preserve"> </w:t>
      </w:r>
      <w:r>
        <w:t xml:space="preserve">establishes the foundation by presenting a proof-of-concept study that demonstrates the feasibility of distinguising different types of vegetation using remote sensing. It demonstrates that this technique can effectively separate green macroalgae from seagrasses. By employing both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the proof of concept,</w:t>
      </w:r>
      <w:r>
        <w:t xml:space="preserve"> </w:t>
      </w:r>
      <w:r>
        <w:rPr>
          <w:b/>
          <w:bCs/>
        </w:rPr>
        <w:t xml:space="preserve">Chapter 3</w:t>
      </w:r>
      <w:r>
        <w:t xml:space="preserve"> </w:t>
      </w:r>
      <w:r>
        <w:t xml:space="preserve">focuses on the development of a robust algorithm called DISCOV v1.0, capable of automating the discrimination of green macrophytes in heterogeneous intertidal habitats. Utilizing high-resolution multispectral drone imagery and advanced machine 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remote sensing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validations,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remote sensing in assessing the resilience and vulnerability of intertidal ecosystems under climate change.</w:t>
      </w:r>
    </w:p>
    <w:p>
      <w:pPr>
        <w:pStyle w:val="BodyText"/>
      </w:pPr>
      <w:r>
        <w:t xml:space="preserve">Finally, the</w:t>
      </w:r>
      <w:r>
        <w:t xml:space="preserve"> </w:t>
      </w:r>
      <w:r>
        <w:rPr>
          <w:b/>
          <w:bCs/>
        </w:rPr>
        <w:t xml:space="preserve">General conclusion and futur perspectives</w:t>
      </w:r>
      <w:r>
        <w:t xml:space="preserve"> </w:t>
      </w:r>
      <w:r>
        <w:t xml:space="preserve">section will close the work, discussing about the broader implication of this work and suggesting futur directions for research and application. This section will synthesize the key findings from each chapter, highlighting how the advancements in remote sensing methodologies contribute to improved habitat monitoring and management of intertidal ecosystems. It will also emphasize the potential for these approaches to be adapted to other coastal and marine environments, supporting biodiversity conservation and ecosystem resilience in the face of global environmental changes. Future perspectives will explore opportunities to further enhance remote sensing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04"/>
    <w:bookmarkEnd w:id="105"/>
    <w:bookmarkStart w:id="172" w:name="X5946039c2941aedea9148f0862d7b582029c549"/>
    <w:p>
      <w:pPr>
        <w:pStyle w:val="Heading1"/>
      </w:pPr>
      <w:r>
        <w:t xml:space="preserve">2. Hyperspectral classification of intertidal vegetation for coastal biodiversity</w:t>
      </w:r>
    </w:p>
    <w:bookmarkStart w:id="106"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Nicholas J. Murray et al., 2019b;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2022)</w:t>
      </w:r>
      <w:r>
        <w:t xml:space="preserve">, and reserves and nurseries for fisheries</w:t>
      </w:r>
      <w:r>
        <w:t xml:space="preserve"> </w:t>
      </w:r>
      <w:r>
        <w:t xml:space="preserve">(Gardner and Finlayson, 2018a)</w:t>
      </w:r>
      <w:r>
        <w:t xml:space="preserve">. However, the significant roles of intertidal areas for biodiversity and the ecosystem services they provide are not universally known</w:t>
      </w:r>
      <w:r>
        <w:t xml:space="preserve"> </w:t>
      </w:r>
      <w:r>
        <w:t xml:space="preserve">(Reddin et al., 2022; Unsworth et al., 2022a; R. K. F. Unsworth et al., 2019a, 2019b)</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Nicholas J. Murray et al., 2019b)</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2018a)</w:t>
      </w:r>
      <w:r>
        <w:t xml:space="preserve">.</w:t>
      </w:r>
    </w:p>
    <w:p>
      <w:pPr>
        <w:pStyle w:val="BodyText"/>
      </w:pPr>
      <w:r>
        <w:t xml:space="preserve">To reduce these impacts and improve the protection of intertidal areas, several measures have been implemented over the past decades in Europe, such as the Water Framework Directive</w:t>
      </w:r>
      <w:r>
        <w:t xml:space="preserve"> </w:t>
      </w:r>
      <w:r>
        <w:t xml:space="preserve">(WFD, Parliament and Council, 2001)</w:t>
      </w:r>
      <w:r>
        <w:t xml:space="preserve">, and the Marine Strategy Framework Directive</w:t>
      </w:r>
      <w:r>
        <w:t xml:space="preserve"> </w:t>
      </w:r>
      <w:r>
        <w:t xml:space="preserve">(MSFD, 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(R. K. F. Unsworth et al., 2019a)</w:t>
      </w:r>
      <w:r>
        <w:t xml:space="preserve">. Providing updated and accurate maps of intertidal areas is a prerequisite to addressing such challenges</w:t>
      </w:r>
      <w:r>
        <w:t xml:space="preserve"> </w:t>
      </w:r>
      <w:r>
        <w:t xml:space="preserve">(Len J. McKenzie et al., 2020b)</w:t>
      </w:r>
      <w:r>
        <w:t xml:space="preserve">. However, the traditional methods for mapping rely on field surveys to estimate species abundance, biomass and habitat surface, which are time-consuming and labor-intensive</w:t>
      </w:r>
      <w:r>
        <w:t xml:space="preserve"> </w:t>
      </w:r>
      <w:r>
        <w:t xml:space="preserve">(Nijland et al., 2019a; O. Magalí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2020a)</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2022a; O. Magalí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Essential Biodiversity Variables (EBVs) in coastal ecosystems, such as species traits or ecosystem structure and function</w:t>
      </w:r>
      <w:r>
        <w:t xml:space="preserve"> </w:t>
      </w:r>
      <w:r>
        <w:t xml:space="preserve">(Frank E. Muller-Karger et al., 2018a; Pereira et al., 2013b)</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2021b)</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PRecursore IperSpettrale della Missione Applicativa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2020a)</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2022, 2020c)</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2020a)</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2021b)</w:t>
      </w:r>
      <w:r>
        <w:t xml:space="preserve">. Other taxonomic classes common in intertidal soft-bottom environments such as Xanthophyceae and Bacillariophyceae could also be confused with seagrass when present at low cover</w:t>
      </w:r>
      <w:r>
        <w:t xml:space="preserve"> </w:t>
      </w:r>
      <w:r>
        <w:t xml:space="preserve">(Zoffoli et al., 2020c)</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2022a; Mcilwaine et al., 2019a; O. Magalí Olmedo-Masat et al., 2020)</w:t>
      </w:r>
      <w:r>
        <w:t xml:space="preserve">, and to identify different seagrass species</w:t>
      </w:r>
      <w:r>
        <w:t xml:space="preserve"> </w:t>
      </w:r>
      <w:r>
        <w:t xml:space="preserve">(S. K. Fyfe, 2003)</w:t>
      </w:r>
      <w:r>
        <w:t xml:space="preserve"> </w:t>
      </w:r>
      <w:r>
        <w:t xml:space="preserve">or to differentiate seagrass from other nearshore vegetation types</w:t>
      </w:r>
      <w:r>
        <w:t xml:space="preserve"> </w:t>
      </w:r>
      <w:r>
        <w:t xml:space="preserve">(Légaré et al., 2022a)</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remote sensing.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machine learning algorithms were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06"/>
    <w:bookmarkStart w:id="128" w:name="materials-and-methods"/>
    <w:p>
      <w:pPr>
        <w:pStyle w:val="Heading2"/>
      </w:pPr>
      <w:r>
        <w:t xml:space="preserve">2.2 Materials and Methods</w:t>
      </w:r>
    </w:p>
    <w:bookmarkStart w:id="119"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10"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08" name="Picture"/>
                  <a:graphic>
                    <a:graphicData uri="http://schemas.openxmlformats.org/drawingml/2006/picture">
                      <pic:pic>
                        <pic:nvPicPr>
                          <pic:cNvPr descr="Chapter2/Figs/SPECIESTABLE.png" id="109" name="Picture"/>
                          <pic:cNvPicPr>
                            <a:picLocks noChangeArrowheads="1" noChangeAspect="1"/>
                          </pic:cNvPicPr>
                        </pic:nvPicPr>
                        <pic:blipFill>
                          <a:blip r:embed="rId107"/>
                          <a:stretch>
                            <a:fillRect/>
                          </a:stretch>
                        </pic:blipFill>
                        <pic:spPr bwMode="auto">
                          <a:xfrm>
                            <a:off x="0" y="0"/>
                            <a:ext cx="5646420" cy="3556919"/>
                          </a:xfrm>
                          <a:prstGeom prst="rect">
                            <a:avLst/>
                          </a:prstGeom>
                          <a:noFill/>
                          <a:ln w="9525">
                            <a:noFill/>
                            <a:headEnd/>
                            <a:tailEnd/>
                          </a:ln>
                        </pic:spPr>
                      </pic:pic>
                    </a:graphicData>
                  </a:graphic>
                </wp:inline>
              </w:drawing>
            </w:r>
          </w:p>
          <w:bookmarkEnd w:id="110"/>
        </w:tc>
      </w:tr>
    </w:tbl>
    <w:tbl>
      <w:tblPr>
        <w:tblStyle w:val="Table"/>
        <w:tblW w:type="pct" w:w="5000"/>
        <w:tblLayout w:type="fixed"/>
        <w:tblLook w:firstRow="0" w:lastRow="0" w:firstColumn="0" w:lastColumn="0" w:noHBand="0" w:noVBand="0" w:val="0000"/>
      </w:tblPr>
      <w:tblGrid>
        <w:gridCol w:w="7920"/>
      </w:tblGrid>
      <w:tr>
        <w:tc>
          <w:tcPr/>
          <w:bookmarkStart w:id="114" w:name="fig-Images"/>
          <w:p>
            <w:pPr>
              <w:pStyle w:val="Compact"/>
              <w:jc w:val="center"/>
            </w:pPr>
            <w:r>
              <w:drawing>
                <wp:inline>
                  <wp:extent cx="5401056" cy="3444240"/>
                  <wp:effectExtent b="0" l="0" r="0" t="0"/>
                  <wp:docPr descr="" title="" id="112" name="Picture"/>
                  <a:graphic>
                    <a:graphicData uri="http://schemas.openxmlformats.org/drawingml/2006/picture">
                      <pic:pic>
                        <pic:nvPicPr>
                          <pic:cNvPr descr="Chapter2/Figs/Figure1.jpg" id="113" name="Picture"/>
                          <pic:cNvPicPr>
                            <a:picLocks noChangeArrowheads="1" noChangeAspect="1"/>
                          </pic:cNvPicPr>
                        </pic:nvPicPr>
                        <pic:blipFill>
                          <a:blip r:embed="rId111"/>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(Fucus vesiculosus), b: Magnoliopsida (Zostera noltei), c: Ulvophyceae (Ulva linza), d: Bacillariophyceae (Diatoms) and e: Xanthophyceae (Vaucheria spp.)). Scale bars show approximate scale.</w:t>
            </w:r>
          </w:p>
          <w:bookmarkEnd w:id="114"/>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2020c)</w:t>
      </w:r>
      <w:r>
        <w:t xml:space="preserve">, Marennes-Oléron Bay, Auray Estuary, Mont-Saint-Michel Bay, Morbihan Gulf and Traict of Merquel, in Spain in Bolonia Beach</w:t>
      </w:r>
      <w:r>
        <w:t xml:space="preserve"> </w:t>
      </w:r>
      <w:r>
        <w:t xml:space="preserve">(Roca et al., 2022a)</w:t>
      </w:r>
      <w:r>
        <w:t xml:space="preserve"> </w:t>
      </w:r>
      <w:r>
        <w:t xml:space="preserve">and Bay of Cadiz</w:t>
      </w:r>
      <w:r>
        <w:t xml:space="preserve"> </w:t>
      </w:r>
      <w:r>
        <w:t xml:space="preserve">(Zoffoli et al., 2020c)</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18" w:name="fig-FIGMAP"/>
          <w:p>
            <w:pPr>
              <w:pStyle w:val="Compact"/>
              <w:jc w:val="center"/>
            </w:pPr>
            <w:r>
              <w:drawing>
                <wp:inline>
                  <wp:extent cx="5466283" cy="5027371"/>
                  <wp:effectExtent b="0" l="0" r="0" t="0"/>
                  <wp:docPr descr="" title="" id="116" name="Picture"/>
                  <a:graphic>
                    <a:graphicData uri="http://schemas.openxmlformats.org/drawingml/2006/picture">
                      <pic:pic>
                        <pic:nvPicPr>
                          <pic:cNvPr descr="Chapter2/Figs/Figure2.jpg" id="117" name="Picture"/>
                          <pic:cNvPicPr>
                            <a:picLocks noChangeArrowheads="1" noChangeAspect="1"/>
                          </pic:cNvPicPr>
                        </pic:nvPicPr>
                        <pic:blipFill>
                          <a:blip r:embed="rId115"/>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18"/>
        </w:tc>
      </w:tr>
    </w:tbl>
    <w:bookmarkEnd w:id="119"/>
    <w:bookmarkStart w:id="127" w:name="data-analysis"/>
    <w:p>
      <w:pPr>
        <w:pStyle w:val="Heading3"/>
      </w:pPr>
      <w:r>
        <w:t xml:space="preserve">2.2.2 Data Analysis</w:t>
      </w:r>
    </w:p>
    <w:bookmarkStart w:id="124"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sensors.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2020c)</w:t>
      </w:r>
      <w:r>
        <w:t xml:space="preserve">. To degrade the ASD library to the PRISMA spectral resolution, only central wavelengths and bandwidths (from 400 to 900 nm) were obtained from the Agenzia Spaziale Italiana</w:t>
      </w:r>
      <w:r>
        <w:t xml:space="preserve"> </w:t>
      </w:r>
      <w:r>
        <w:t xml:space="preserve">(ASI, 2020)</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23" w:name="fig-SpectraDegFIG"/>
          <w:p>
            <w:pPr>
              <w:pStyle w:val="Compact"/>
              <w:jc w:val="center"/>
            </w:pPr>
            <w:r>
              <w:drawing>
                <wp:inline>
                  <wp:extent cx="5646420" cy="5741879"/>
                  <wp:effectExtent b="0" l="0" r="0" t="0"/>
                  <wp:docPr descr="" title="" id="121" name="Picture"/>
                  <a:graphic>
                    <a:graphicData uri="http://schemas.openxmlformats.org/drawingml/2006/picture">
                      <pic:pic>
                        <pic:nvPicPr>
                          <pic:cNvPr descr="Chapter2/Figs/Figure3.jpg" id="122" name="Picture"/>
                          <pic:cNvPicPr>
                            <a:picLocks noChangeArrowheads="1" noChangeAspect="1"/>
                          </pic:cNvPicPr>
                        </pic:nvPicPr>
                        <pic:blipFill>
                          <a:blip r:embed="rId120"/>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23"/>
        </w:tc>
      </w:tr>
    </w:tbl>
    <w:bookmarkEnd w:id="124"/>
    <w:bookmarkStart w:id="125"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2022a)</w:t>
      </w:r>
      <w:r>
        <w:t xml:space="preserve">:</w:t>
      </w:r>
    </w:p>
    <w:p>
      <w:pPr>
        <w:pStyle w:val="BodyText"/>
      </w:pPr>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oMath>
      </m:oMathPara>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25"/>
    <w:bookmarkStart w:id="126"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2024)</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2023;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26"/>
    <w:bookmarkEnd w:id="127"/>
    <w:bookmarkEnd w:id="128"/>
    <w:bookmarkStart w:id="161" w:name="results"/>
    <w:p>
      <w:pPr>
        <w:pStyle w:val="Heading2"/>
      </w:pPr>
      <w:r>
        <w:t xml:space="preserve">2.3 Results</w:t>
      </w:r>
    </w:p>
    <w:bookmarkStart w:id="133"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chlorophyll</w:t>
      </w:r>
      <w:r>
        <w:t xml:space="preserve"> </w:t>
      </w:r>
      <w:r>
        <w:rPr>
          <w:i/>
          <w:iCs/>
        </w:rPr>
        <w:t xml:space="preserve">a</w:t>
      </w:r>
      <w:r>
        <w:t xml:space="preserve"> </w:t>
      </w:r>
      <w:r>
        <w:t xml:space="preserve">while at 630 nm a smaller absorption band for the Bacillariophyceae and the Xanthophyceae corresponded to chlorophyll</w:t>
      </w:r>
      <w:r>
        <w:t xml:space="preserve"> </w:t>
      </w:r>
      <w:r>
        <w:rPr>
          <w:i/>
          <w:iCs/>
        </w:rPr>
        <w:t xml:space="preserve">c</w:t>
      </w:r>
      <w:r>
        <w:t xml:space="preserve">.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32" w:name="fig-SpectraFIG"/>
          <w:p>
            <w:pPr>
              <w:pStyle w:val="Compact"/>
              <w:jc w:val="center"/>
            </w:pPr>
            <w:r>
              <w:drawing>
                <wp:inline>
                  <wp:extent cx="4572000" cy="4511649"/>
                  <wp:effectExtent b="0" l="0" r="0" t="0"/>
                  <wp:docPr descr="" title="" id="130" name="Picture"/>
                  <a:graphic>
                    <a:graphicData uri="http://schemas.openxmlformats.org/drawingml/2006/picture">
                      <pic:pic>
                        <pic:nvPicPr>
                          <pic:cNvPr descr="Chapter2/Figs/Figure4.jpg" id="131" name="Picture"/>
                          <pic:cNvPicPr>
                            <a:picLocks noChangeArrowheads="1" noChangeAspect="1"/>
                          </pic:cNvPicPr>
                        </pic:nvPicPr>
                        <pic:blipFill>
                          <a:blip r:embed="rId129"/>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32"/>
        </w:tc>
      </w:tr>
    </w:tbl>
    <w:bookmarkEnd w:id="133"/>
    <w:bookmarkStart w:id="138"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37" w:name="fig-MDSFIG"/>
          <w:p>
            <w:pPr>
              <w:pStyle w:val="Compact"/>
              <w:jc w:val="center"/>
            </w:pPr>
            <w:r>
              <w:drawing>
                <wp:inline>
                  <wp:extent cx="5241340" cy="5186476"/>
                  <wp:effectExtent b="0" l="0" r="0" t="0"/>
                  <wp:docPr descr="" title="" id="135" name="Picture"/>
                  <a:graphic>
                    <a:graphicData uri="http://schemas.openxmlformats.org/drawingml/2006/picture">
                      <pic:pic>
                        <pic:nvPicPr>
                          <pic:cNvPr descr="Chapter2/Figs/Figure5.jpg" id="136" name="Picture"/>
                          <pic:cNvPicPr>
                            <a:picLocks noChangeArrowheads="1" noChangeAspect="1"/>
                          </pic:cNvPicPr>
                        </pic:nvPicPr>
                        <pic:blipFill>
                          <a:blip r:embed="rId134"/>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37"/>
        </w:tc>
      </w:tr>
    </w:tbl>
    <w:bookmarkEnd w:id="138"/>
    <w:bookmarkStart w:id="155"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42" w:name="fig-MetricsFIG"/>
          <w:p>
            <w:pPr>
              <w:pStyle w:val="Compact"/>
              <w:jc w:val="center"/>
            </w:pPr>
            <w:r>
              <w:drawing>
                <wp:inline>
                  <wp:extent cx="4998110" cy="5012740"/>
                  <wp:effectExtent b="0" l="0" r="0" t="0"/>
                  <wp:docPr descr="" title="" id="140" name="Picture"/>
                  <a:graphic>
                    <a:graphicData uri="http://schemas.openxmlformats.org/drawingml/2006/picture">
                      <pic:pic>
                        <pic:nvPicPr>
                          <pic:cNvPr descr="Chapter2/Figs/Figure6.jpg" id="141" name="Picture"/>
                          <pic:cNvPicPr>
                            <a:picLocks noChangeArrowheads="1" noChangeAspect="1"/>
                          </pic:cNvPicPr>
                        </pic:nvPicPr>
                        <pic:blipFill>
                          <a:blip r:embed="rId139"/>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42"/>
        </w:tc>
      </w:tr>
    </w:tbl>
    <w:tbl>
      <w:tblPr>
        <w:tblStyle w:val="Table"/>
        <w:tblW w:type="pct" w:w="5000"/>
        <w:tblLayout w:type="fixed"/>
        <w:tblLook w:firstRow="0" w:lastRow="0" w:firstColumn="0" w:lastColumn="0" w:noHBand="0" w:noVBand="0" w:val="0000"/>
      </w:tblPr>
      <w:tblGrid>
        <w:gridCol w:w="7920"/>
      </w:tblGrid>
      <w:tr>
        <w:tc>
          <w:tcPr/>
          <w:bookmarkStart w:id="146"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44" name="Picture"/>
                  <a:graphic>
                    <a:graphicData uri="http://schemas.openxmlformats.org/drawingml/2006/picture">
                      <pic:pic>
                        <pic:nvPicPr>
                          <pic:cNvPr descr="Chapter2/Figs/metricsTable.png" id="145" name="Picture"/>
                          <pic:cNvPicPr>
                            <a:picLocks noChangeArrowheads="1" noChangeAspect="1"/>
                          </pic:cNvPicPr>
                        </pic:nvPicPr>
                        <pic:blipFill>
                          <a:blip r:embed="rId143"/>
                          <a:stretch>
                            <a:fillRect/>
                          </a:stretch>
                        </pic:blipFill>
                        <pic:spPr bwMode="auto">
                          <a:xfrm>
                            <a:off x="0" y="0"/>
                            <a:ext cx="5646420" cy="1870321"/>
                          </a:xfrm>
                          <a:prstGeom prst="rect">
                            <a:avLst/>
                          </a:prstGeom>
                          <a:noFill/>
                          <a:ln w="9525">
                            <a:noFill/>
                            <a:headEnd/>
                            <a:tailEnd/>
                          </a:ln>
                        </pic:spPr>
                      </pic:pic>
                    </a:graphicData>
                  </a:graphic>
                </wp:inline>
              </w:drawing>
            </w:r>
          </w:p>
          <w:bookmarkEnd w:id="146"/>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50" w:name="fig-VIPFIG"/>
          <w:p>
            <w:pPr>
              <w:pStyle w:val="Compact"/>
              <w:jc w:val="center"/>
            </w:pPr>
            <w:r>
              <w:drawing>
                <wp:inline>
                  <wp:extent cx="4753051" cy="4694529"/>
                  <wp:effectExtent b="0" l="0" r="0" t="0"/>
                  <wp:docPr descr="" title="" id="148" name="Picture"/>
                  <a:graphic>
                    <a:graphicData uri="http://schemas.openxmlformats.org/drawingml/2006/picture">
                      <pic:pic>
                        <pic:nvPicPr>
                          <pic:cNvPr descr="Chapter2/Figs/Figure7.jpg" id="149" name="Picture"/>
                          <pic:cNvPicPr>
                            <a:picLocks noChangeArrowheads="1" noChangeAspect="1"/>
                          </pic:cNvPicPr>
                        </pic:nvPicPr>
                        <pic:blipFill>
                          <a:blip r:embed="rId147"/>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50"/>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54" w:name="fig-VIPFunction"/>
          <w:p>
            <w:pPr>
              <w:pStyle w:val="Compact"/>
              <w:jc w:val="center"/>
            </w:pPr>
            <w:r>
              <w:drawing>
                <wp:inline>
                  <wp:extent cx="5226710" cy="5171846"/>
                  <wp:effectExtent b="0" l="0" r="0" t="0"/>
                  <wp:docPr descr="" title="" id="152" name="Picture"/>
                  <a:graphic>
                    <a:graphicData uri="http://schemas.openxmlformats.org/drawingml/2006/picture">
                      <pic:pic>
                        <pic:nvPicPr>
                          <pic:cNvPr descr="Chapter2/Figs/Figure8.jpg" id="153" name="Picture"/>
                          <pic:cNvPicPr>
                            <a:picLocks noChangeArrowheads="1" noChangeAspect="1"/>
                          </pic:cNvPicPr>
                        </pic:nvPicPr>
                        <pic:blipFill>
                          <a:blip r:embed="rId151"/>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54"/>
        </w:tc>
      </w:tr>
    </w:tbl>
    <w:bookmarkEnd w:id="155"/>
    <w:bookmarkStart w:id="160"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159" w:name="fig-ConfMatFIG"/>
          <w:p>
            <w:pPr>
              <w:pStyle w:val="Compact"/>
              <w:jc w:val="center"/>
            </w:pPr>
            <w:r>
              <w:drawing>
                <wp:inline>
                  <wp:extent cx="4319016" cy="4306824"/>
                  <wp:effectExtent b="0" l="0" r="0" t="0"/>
                  <wp:docPr descr="" title="" id="157" name="Picture"/>
                  <a:graphic>
                    <a:graphicData uri="http://schemas.openxmlformats.org/drawingml/2006/picture">
                      <pic:pic>
                        <pic:nvPicPr>
                          <pic:cNvPr descr="Chapter2/Figs/Figure9.jpg" id="158" name="Picture"/>
                          <pic:cNvPicPr>
                            <a:picLocks noChangeArrowheads="1" noChangeAspect="1"/>
                          </pic:cNvPicPr>
                        </pic:nvPicPr>
                        <pic:blipFill>
                          <a:blip r:embed="rId156"/>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abreviated Bacillariophyceae as Bac, Bare Sediments as Bar, Magnoliopsida as Mag, Phaeophyceae as Pha and Ulvophyceae as Ulv. Labels with numbers show within class sensitivity and specificity.</w:t>
            </w:r>
          </w:p>
          <w:bookmarkEnd w:id="159"/>
        </w:tc>
      </w:tr>
    </w:tbl>
    <w:bookmarkEnd w:id="160"/>
    <w:bookmarkEnd w:id="161"/>
    <w:bookmarkStart w:id="171" w:name="discussion"/>
    <w:p>
      <w:pPr>
        <w:pStyle w:val="Heading2"/>
      </w:pPr>
      <w:r>
        <w:t xml:space="preserve">2.4 Discussion</w:t>
      </w:r>
    </w:p>
    <w:bookmarkStart w:id="162"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2022a; Douay et al., 2022a; Mcilwaine et al., 2019a;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2019a)</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multipectral resolution with ten bands when using machine learning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2022a)</w:t>
      </w:r>
      <w:r>
        <w:t xml:space="preserve">. A practical restraint of this analysis is the necessity for non-submerged samples. However, the main challenge in mapping seagrass through remote sensing stems from confusion between similarly pigmented green algae, leading to high levels of uncertainty in current seagrass extent</w:t>
      </w:r>
      <w:r>
        <w:t xml:space="preserve"> </w:t>
      </w:r>
      <w:r>
        <w:t xml:space="preserve">(Len J. McKenzie et al., 2020b)</w:t>
      </w:r>
      <w:r>
        <w:t xml:space="preserve">. Vegetation classes were consistently distinguishable from bare sediments, as found elsewhere between bare rock and algae</w:t>
      </w:r>
      <w:r>
        <w:t xml:space="preserve"> </w:t>
      </w:r>
      <w:r>
        <w:t xml:space="preserve">(Douay et al., 2022a)</w:t>
      </w:r>
      <w:r>
        <w:t xml:space="preserve">. Likewise, random forest models were successfully able to discriminate between habitats</w:t>
      </w:r>
      <w:r>
        <w:t xml:space="preserve"> </w:t>
      </w:r>
      <w:r>
        <w:t xml:space="preserve">(Légaré et al., 2022a; See also: Oiry and Barillé, 2021b)</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162"/>
    <w:bookmarkStart w:id="167"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(S. K. Fyfe, 2003)</w:t>
      </w:r>
      <w:r>
        <w:t xml:space="preserve">, and brown from green macroalgae</w:t>
      </w:r>
      <w:r>
        <w:t xml:space="preserve"> </w:t>
      </w:r>
      <w:r>
        <w:t xml:space="preserve">(Mcilwaine et al., 2019a)</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Chlorophyll</w:t>
      </w:r>
      <w:r>
        <w:t xml:space="preserve"> </w:t>
      </w:r>
      <w:r>
        <w:rPr>
          <w:i/>
          <w:iCs/>
        </w:rPr>
        <w:t xml:space="preserve">c</w:t>
      </w:r>
      <w:r>
        <w:t xml:space="preserve"> </w:t>
      </w:r>
      <w:r>
        <w:t xml:space="preserve">and fucoxanthin absorb light at 636 nm and 550 nm respectively</w:t>
      </w:r>
      <w:r>
        <w:t xml:space="preserve"> </w:t>
      </w:r>
      <w:r>
        <w:t xml:space="preserve">(Méléder et al., 2013a)</w:t>
      </w:r>
      <w:r>
        <w:t xml:space="preserve">. Those pigments are present amongst diatoms and brown macroalgae, but absent in green macrophytes. Xanthophyceae also contain chlorophyll</w:t>
      </w:r>
      <w:r>
        <w:t xml:space="preserve"> </w:t>
      </w:r>
      <w:r>
        <w:rPr>
          <w:i/>
          <w:iCs/>
        </w:rPr>
        <w:t xml:space="preserve">c</w:t>
      </w:r>
      <w:r>
        <w:t xml:space="preserve">,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2022a; Méléder et al., 2013a)</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(A. Bargain et al., 2013b; K. S.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taxons sharing the same pigments</w:t>
      </w:r>
      <w:r>
        <w:t xml:space="preserve"> </w:t>
      </w:r>
      <w:r>
        <w:t xml:space="preserve">(Kirk, 1994a)</w:t>
      </w:r>
      <w:r>
        <w:t xml:space="preserve">, while 3D disposition of the plants as a whole can alter the magnitude of reflectance</w:t>
      </w:r>
      <w:r>
        <w:t xml:space="preserve"> </w:t>
      </w:r>
      <w:r>
        <w:t xml:space="preserve">(John D. Hedley et al., 2018a)</w:t>
      </w:r>
      <w:r>
        <w:t xml:space="preserve">. As pigment absorptions correspond to narrow spectral bands</w:t>
      </w:r>
      <w:r>
        <w:t xml:space="preserve"> </w:t>
      </w:r>
      <w:r>
        <w:t xml:space="preserve">(Douay et al., 2022a; Méléder et al., 2013a)</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S. K. 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chlorophyl-</w:t>
      </w:r>
      <w:r>
        <w:rPr>
          <w:i/>
          <w:iCs/>
        </w:rPr>
        <w:t xml:space="preserve">a</w:t>
      </w:r>
      <w:r>
        <w:t xml:space="preserve"> </w:t>
      </w:r>
      <w:r>
        <w:t xml:space="preserve">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166"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164" name="Picture"/>
                  <a:graphic>
                    <a:graphicData uri="http://schemas.openxmlformats.org/drawingml/2006/picture">
                      <pic:pic>
                        <pic:nvPicPr>
                          <pic:cNvPr descr="Chapter2/Figs/pigmentTable.png" id="165" name="Picture"/>
                          <pic:cNvPicPr>
                            <a:picLocks noChangeArrowheads="1" noChangeAspect="1"/>
                          </pic:cNvPicPr>
                        </pic:nvPicPr>
                        <pic:blipFill>
                          <a:blip r:embed="rId163"/>
                          <a:stretch>
                            <a:fillRect/>
                          </a:stretch>
                        </pic:blipFill>
                        <pic:spPr bwMode="auto">
                          <a:xfrm>
                            <a:off x="0" y="0"/>
                            <a:ext cx="5646420" cy="1510798"/>
                          </a:xfrm>
                          <a:prstGeom prst="rect">
                            <a:avLst/>
                          </a:prstGeom>
                          <a:noFill/>
                          <a:ln w="9525">
                            <a:noFill/>
                            <a:headEnd/>
                            <a:tailEnd/>
                          </a:ln>
                        </pic:spPr>
                      </pic:pic>
                    </a:graphicData>
                  </a:graphic>
                </wp:inline>
              </w:drawing>
            </w:r>
          </w:p>
          <w:bookmarkEnd w:id="166"/>
        </w:tc>
      </w:tr>
    </w:tbl>
    <w:bookmarkEnd w:id="167"/>
    <w:bookmarkStart w:id="168"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(A. Bargain et al., 2013b)</w:t>
      </w:r>
      <w:r>
        <w:t xml:space="preserve">. Likewise,</w:t>
      </w:r>
      <w:r>
        <w:t xml:space="preserve"> </w:t>
      </w:r>
      <w:r>
        <w:t xml:space="preserve">Légaré et al. (2022a)</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(S. K. 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168"/>
    <w:bookmarkStart w:id="169"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Essential Biodiversity Variables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Earth Observation (EO) from satellite data alongside its accessibility means it has been used to study long term anthropogenic impacts</w:t>
      </w:r>
      <w:r>
        <w:t xml:space="preserve"> </w:t>
      </w:r>
      <w:r>
        <w:t xml:space="preserve">(Hu et al., 2017; Lizcano-Sandoval et al., 2022; Santos et al., 2020; Zoffoli et al., 2021b)</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Essential Ocean Variables (EOVs) in coastal ecosystems studies.</w:t>
      </w:r>
    </w:p>
    <w:bookmarkEnd w:id="169"/>
    <w:bookmarkStart w:id="170"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Normalised Difference Vegetation Index (NDVI) that can provide proxies for vegetation coverage, such as monospecific intertidal seagrass meadow</w:t>
      </w:r>
      <w:r>
        <w:t xml:space="preserve"> </w:t>
      </w:r>
      <w:r>
        <w:t xml:space="preserve">(Zoffoli et al., 2020c)</w:t>
      </w:r>
      <w:r>
        <w:t xml:space="preserve">. In particular, our work demonstrated the potential of discriminating intertidal seagrass from Ulvophyceae using satellite remote sensing, therefore unlocking a strong limitation for seagrass mapping in heterogeneous environments. High accuracy at distinguishing habitats was found for hyperspectral sensors as well as multispectral sensors consisting of &gt;8 bands in the visible and near-infrared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170"/>
    <w:bookmarkEnd w:id="171"/>
    <w:bookmarkEnd w:id="172"/>
    <w:bookmarkStart w:id="266" w:name="X27e1cd8292c123eed0e7ee2bdbf2cbaf1b8c277"/>
    <w:p>
      <w:pPr>
        <w:pStyle w:val="Heading1"/>
      </w:pPr>
      <w:r>
        <w:t xml:space="preserve">3. Discriminating Seagrasses from Green Macroalgae in European Intertidal Areas Using High-Resolution Multispectral Drone Imagery</w:t>
      </w:r>
    </w:p>
    <w:bookmarkStart w:id="173"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2022b)</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2022b)</w:t>
      </w:r>
      <w:r>
        <w:t xml:space="preserve">. They serve as vital habitats for a diverse array of marine and terrestrial species, providing living, breeding, and feeding grounds</w:t>
      </w:r>
      <w:r>
        <w:t xml:space="preserve"> </w:t>
      </w:r>
      <w:r>
        <w:t xml:space="preserve">(Gardner and Finlayson, 2018b; Jankowska et al., 2019; Zoffoli et al., 2022)</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2006b;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2019b; Sousa et al., 2019; Zoffoli et al., 2021b)</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Essential Oceanic Variable (EOVs) such as seagrass composition</w:t>
      </w:r>
      <w:r>
        <w:t xml:space="preserve"> </w:t>
      </w:r>
      <w:r>
        <w:t xml:space="preserve">(Miloslavich et al., 2018)</w:t>
      </w:r>
      <w:r>
        <w:t xml:space="preserve">, as well as Essential Biodiversity Variable (EBVs) such as seagrass taxonomic diversity, species distribution, population abundance, and phenology</w:t>
      </w:r>
      <w:r>
        <w:t xml:space="preserve"> </w:t>
      </w:r>
      <w:r>
        <w:t xml:space="preserve">(Pereira et al., 2013b)</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2019b)</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2021b)</w:t>
      </w:r>
      <w:r>
        <w:t xml:space="preserve">.</w:t>
      </w:r>
    </w:p>
    <w:p>
      <w:pPr>
        <w:pStyle w:val="BodyText"/>
      </w:pPr>
      <w:r>
        <w:t xml:space="preserve">While satellite remote sensing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2022a; Ralph et al., 2002)</w:t>
      </w:r>
      <w:r>
        <w:t xml:space="preserve">, resulting in a similar spectral signature in terms of reflectance, especially in the visible range</w:t>
      </w:r>
      <w:r>
        <w:t xml:space="preserve"> </w:t>
      </w:r>
      <w:r>
        <w:t xml:space="preserve">(Bannari et al., 2022; B. F. R. Davies et al., 2023a)</w:t>
      </w:r>
      <w:r>
        <w:t xml:space="preserve">. Recently, using advanced machine-learning algorithms trained with a large hyperspectral library of more than 300 field reflectance spectra,</w:t>
      </w:r>
      <w:r>
        <w:t xml:space="preserve"> </w:t>
      </w:r>
      <w:r>
        <w:t xml:space="preserve">B. F. R. 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(Unmanned Aerial Vehicles –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2022a; Román et al., 2021a;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2021a;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remote sensing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173"/>
    <w:bookmarkStart w:id="208" w:name="material-methods"/>
    <w:p>
      <w:pPr>
        <w:pStyle w:val="Heading2"/>
      </w:pPr>
      <w:r>
        <w:t xml:space="preserve">3.2 Material &amp; Methods</w:t>
      </w:r>
    </w:p>
    <w:bookmarkStart w:id="178"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2020b)</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2022)</w:t>
      </w:r>
      <w:r>
        <w:t xml:space="preserve">. 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tbl>
      <w:tblPr>
        <w:tblStyle w:val="Table"/>
        <w:tblW w:type="pct" w:w="5000"/>
        <w:tblLayout w:type="fixed"/>
        <w:tblLook w:firstRow="0" w:lastRow="0" w:firstColumn="0" w:lastColumn="0" w:noHBand="0" w:noVBand="0" w:val="0000"/>
      </w:tblPr>
      <w:tblGrid>
        <w:gridCol w:w="7920"/>
      </w:tblGrid>
      <w:tr>
        <w:tc>
          <w:tcPr/>
          <w:bookmarkStart w:id="177" w:name="fig-map"/>
          <w:p>
            <w:pPr>
              <w:pStyle w:val="Compact"/>
              <w:jc w:val="center"/>
            </w:pPr>
            <w:r>
              <w:drawing>
                <wp:inline>
                  <wp:extent cx="5646420" cy="5646420"/>
                  <wp:effectExtent b="0" l="0" r="0" t="0"/>
                  <wp:docPr descr="" title="" id="175" name="Picture"/>
                  <a:graphic>
                    <a:graphicData uri="http://schemas.openxmlformats.org/drawingml/2006/picture">
                      <pic:pic>
                        <pic:nvPicPr>
                          <pic:cNvPr descr="Chapter3/Figs/Figure1.png" id="176" name="Picture"/>
                          <pic:cNvPicPr>
                            <a:picLocks noChangeArrowheads="1" noChangeAspect="1"/>
                          </pic:cNvPicPr>
                        </pic:nvPicPr>
                        <pic:blipFill>
                          <a:blip r:embed="rId174"/>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represents the intertidal zone.</w:t>
            </w:r>
          </w:p>
          <w:bookmarkEnd w:id="177"/>
        </w:tc>
      </w:tr>
    </w:tbl>
    <w:bookmarkEnd w:id="178"/>
    <w:bookmarkStart w:id="189" w:name="field-sampling"/>
    <w:p>
      <w:pPr>
        <w:pStyle w:val="Heading3"/>
      </w:pPr>
      <w:r>
        <w:t xml:space="preserve">3.2.2 Field sampling</w:t>
      </w:r>
    </w:p>
    <w:bookmarkStart w:id="183"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near-infrared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182"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180" name="Picture"/>
                  <a:graphic>
                    <a:graphicData uri="http://schemas.openxmlformats.org/drawingml/2006/picture">
                      <pic:pic>
                        <pic:nvPicPr>
                          <pic:cNvPr descr="Chapter3/Figs/Table1.png" id="181" name="Picture"/>
                          <pic:cNvPicPr>
                            <a:picLocks noChangeArrowheads="1" noChangeAspect="1"/>
                          </pic:cNvPicPr>
                        </pic:nvPicPr>
                        <pic:blipFill>
                          <a:blip r:embed="rId179"/>
                          <a:stretch>
                            <a:fillRect/>
                          </a:stretch>
                        </pic:blipFill>
                        <pic:spPr bwMode="auto">
                          <a:xfrm>
                            <a:off x="0" y="0"/>
                            <a:ext cx="5646420" cy="2477358"/>
                          </a:xfrm>
                          <a:prstGeom prst="rect">
                            <a:avLst/>
                          </a:prstGeom>
                          <a:noFill/>
                          <a:ln w="9525">
                            <a:noFill/>
                            <a:headEnd/>
                            <a:tailEnd/>
                          </a:ln>
                        </pic:spPr>
                      </pic:pic>
                    </a:graphicData>
                  </a:graphic>
                </wp:inline>
              </w:drawing>
            </w:r>
          </w:p>
          <w:bookmarkEnd w:id="182"/>
        </w:tc>
      </w:tr>
    </w:tbl>
    <w:bookmarkEnd w:id="183"/>
    <w:bookmarkStart w:id="188"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an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(B. F. R. 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187" w:name="fig-vegetation"/>
          <w:p>
            <w:pPr>
              <w:pStyle w:val="Compact"/>
              <w:jc w:val="center"/>
            </w:pPr>
            <w:r>
              <w:drawing>
                <wp:inline>
                  <wp:extent cx="5646420" cy="3952494"/>
                  <wp:effectExtent b="0" l="0" r="0" t="0"/>
                  <wp:docPr descr="" title="" id="185" name="Picture"/>
                  <a:graphic>
                    <a:graphicData uri="http://schemas.openxmlformats.org/drawingml/2006/picture">
                      <pic:pic>
                        <pic:nvPicPr>
                          <pic:cNvPr descr="Chapter3/Figs/Figure2.png" id="186" name="Picture"/>
                          <pic:cNvPicPr>
                            <a:picLocks noChangeArrowheads="1" noChangeAspect="1"/>
                          </pic:cNvPicPr>
                        </pic:nvPicPr>
                        <pic:blipFill>
                          <a:blip r:embed="rId184"/>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187"/>
        </w:tc>
      </w:tr>
    </w:tbl>
    <w:bookmarkEnd w:id="188"/>
    <w:bookmarkEnd w:id="189"/>
    <w:bookmarkStart w:id="190"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digital surface model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190"/>
    <w:bookmarkStart w:id="204"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94" w:name="fig-workflow"/>
          <w:p>
            <w:pPr>
              <w:pStyle w:val="Compact"/>
              <w:jc w:val="center"/>
            </w:pPr>
            <w:r>
              <w:drawing>
                <wp:inline>
                  <wp:extent cx="5646420" cy="3320212"/>
                  <wp:effectExtent b="0" l="0" r="0" t="0"/>
                  <wp:docPr descr="" title="" id="192" name="Picture"/>
                  <a:graphic>
                    <a:graphicData uri="http://schemas.openxmlformats.org/drawingml/2006/picture">
                      <pic:pic>
                        <pic:nvPicPr>
                          <pic:cNvPr descr="Chapter3/Figs/Figure3.png" id="193" name="Picture"/>
                          <pic:cNvPicPr>
                            <a:picLocks noChangeArrowheads="1" noChangeAspect="1"/>
                          </pic:cNvPicPr>
                        </pic:nvPicPr>
                        <pic:blipFill>
                          <a:blip r:embed="rId191"/>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194"/>
        </w:tc>
      </w:tr>
    </w:tbl>
    <w:bookmarkStart w:id="201"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198"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196" name="Picture"/>
                  <a:graphic>
                    <a:graphicData uri="http://schemas.openxmlformats.org/drawingml/2006/picture">
                      <pic:pic>
                        <pic:nvPicPr>
                          <pic:cNvPr descr="Chapter3/Figs/Table2.png" id="197" name="Picture"/>
                          <pic:cNvPicPr>
                            <a:picLocks noChangeArrowheads="1" noChangeAspect="1"/>
                          </pic:cNvPicPr>
                        </pic:nvPicPr>
                        <pic:blipFill>
                          <a:blip r:embed="rId195"/>
                          <a:stretch>
                            <a:fillRect/>
                          </a:stretch>
                        </pic:blipFill>
                        <pic:spPr bwMode="auto">
                          <a:xfrm>
                            <a:off x="0" y="0"/>
                            <a:ext cx="5646420" cy="2011714"/>
                          </a:xfrm>
                          <a:prstGeom prst="rect">
                            <a:avLst/>
                          </a:prstGeom>
                          <a:noFill/>
                          <a:ln w="9525">
                            <a:noFill/>
                            <a:headEnd/>
                            <a:tailEnd/>
                          </a:ln>
                        </pic:spPr>
                      </pic:pic>
                    </a:graphicData>
                  </a:graphic>
                </wp:inline>
              </w:drawing>
            </w:r>
          </w:p>
          <w:bookmarkEnd w:id="198"/>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photo-degradaration.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 (</w:t>
      </w:r>
      <w:hyperlink w:anchor="eq-std">
        <w:r>
          <w:rPr>
            <w:rStyle w:val="Hyperlink"/>
          </w:rPr>
          <w:t xml:space="preserve">Equation 3.1</w:t>
        </w:r>
      </w:hyperlink>
      <w:r>
        <w:t xml:space="preserve"> </w:t>
      </w:r>
      <w:r>
        <w:t xml:space="preserve">;</w:t>
      </w:r>
      <w:r>
        <w:t xml:space="preserve"> </w:t>
      </w:r>
      <w:r>
        <w:t xml:space="preserve">Cao et al. (2017)</w:t>
      </w:r>
      <w:r>
        <w:t xml:space="preserve">) and the Normalized difference vegetation index (NDVI,</w:t>
      </w:r>
      <w:r>
        <w:t xml:space="preserve"> </w:t>
      </w:r>
      <w:hyperlink w:anchor="eq-ndvi">
        <w:r>
          <w:rPr>
            <w:rStyle w:val="Hyperlink"/>
          </w:rPr>
          <w:t xml:space="preserve">Equation 3.2</w:t>
        </w:r>
      </w:hyperlink>
      <w:r>
        <w:t xml:space="preserve">). Standardisation of spectral bands is commonly used to eliminate the scaling differences between spectra and to limit the effect of biomass on the spectra shape</w:t>
      </w:r>
      <w:r>
        <w:t xml:space="preserve"> </w:t>
      </w:r>
      <w:r>
        <w:t xml:space="preserve">(B. F. R. Davies et al., 2023a; Douay et al., 2022a)</w:t>
      </w:r>
      <w:r>
        <w:t xml:space="preserve">.</w:t>
      </w:r>
    </w:p>
    <w:p>
      <w:pPr>
        <w:pStyle w:val="BodyText"/>
      </w:pPr>
      <w:bookmarkStart w:id="199" w:name="eq-std"/>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3.1</m:t>
              </m:r>
            </m:e>
          </m:d>
        </m:oMath>
      </m:oMathPara>
      <w:bookmarkEnd w:id="199"/>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the wavelength</w:t>
      </w:r>
      <w:r>
        <w:t xml:space="preserve"> </w:t>
      </w:r>
      <m:oMath>
        <m:d>
          <m:dPr>
            <m:begChr m:val="("/>
            <m:endChr m:val=")"/>
            <m:sepChr m:val=""/>
            <m:grow/>
          </m:dPr>
          <m:e>
            <m:r>
              <m:t>λ</m:t>
            </m:r>
          </m:e>
        </m:d>
      </m:oMath>
      <w:r>
        <w:t xml:space="preserve"> </w:t>
      </w:r>
      <w:r>
        <w:t xml:space="preserve">of each individual spectra</w:t>
      </w:r>
      <w:r>
        <w:t xml:space="preserve"> </w:t>
      </w:r>
      <m:oMath>
        <m:d>
          <m:dPr>
            <m:begChr m:val="("/>
            <m:endChr m:val=")"/>
            <m:sepChr m:val=""/>
            <m:grow/>
          </m:dPr>
          <m:e>
            <m:r>
              <m:t>i</m:t>
            </m:r>
          </m:e>
        </m:d>
      </m:oMath>
      <w:r>
        <w:t xml:space="preserve">,</w:t>
      </w:r>
      <w:r>
        <w:t xml:space="preserve"> </w:t>
      </w:r>
      <m:oMath>
        <m:r>
          <m:t>m</m:t>
        </m:r>
        <m:r>
          <m:t>i</m:t>
        </m:r>
        <m:r>
          <m:t>n</m:t>
        </m:r>
        <m:d>
          <m:dPr>
            <m:begChr m:val="("/>
            <m:endChr m:val=")"/>
            <m:sepChr m:val=""/>
            <m:grow/>
          </m:dPr>
          <m:e>
            <m:sSub>
              <m:e>
                <m:r>
                  <m:t>R</m:t>
                </m:r>
              </m:e>
              <m:sub>
                <m:r>
                  <m:t>i</m:t>
                </m:r>
              </m:sub>
            </m:sSub>
          </m:e>
        </m:d>
      </m:oMath>
      <w:r>
        <w:t xml:space="preserve">, and</w:t>
      </w:r>
      <w:r>
        <w:t xml:space="preserve"> </w:t>
      </w:r>
      <m:oMath>
        <m:r>
          <m:t>m</m:t>
        </m:r>
        <m:r>
          <m:t>a</m:t>
        </m:r>
        <m:r>
          <m:t>x</m:t>
        </m:r>
        <m:d>
          <m:dPr>
            <m:begChr m:val="("/>
            <m:endChr m:val=")"/>
            <m:sepChr m:val=""/>
            <m:grow/>
          </m:dPr>
          <m:e>
            <m:sSub>
              <m:e>
                <m:r>
                  <m:t>R</m:t>
                </m:r>
              </m:e>
              <m:sub>
                <m:r>
                  <m:t>i</m:t>
                </m:r>
              </m:sub>
            </m:sSub>
          </m:e>
        </m:d>
      </m:oMath>
      <w:r>
        <w:t xml:space="preserve"> </w:t>
      </w:r>
      <w:r>
        <w:t xml:space="preserve">are the minimum and maximum value of the spectra</w:t>
      </w:r>
      <w:r>
        <w:t xml:space="preserve"> </w:t>
      </w:r>
      <m:oMath>
        <m:d>
          <m:dPr>
            <m:begChr m:val="("/>
            <m:endChr m:val=")"/>
            <m:sepChr m:val=""/>
            <m:grow/>
          </m:dPr>
          <m:e>
            <m:r>
              <m:t>i</m:t>
            </m:r>
          </m:e>
        </m:d>
      </m:oMath>
    </w:p>
    <w:p>
      <w:pPr>
        <w:pStyle w:val="BodyText"/>
      </w:pPr>
      <w:bookmarkStart w:id="200" w:name="eq-ndvi"/>
      <m:oMathPara>
        <m:oMathParaPr>
          <m:jc m:val="center"/>
        </m:oMathParaPr>
        <m:oMath>
          <m:r>
            <m:t>N</m:t>
          </m:r>
          <m:r>
            <m:t>D</m:t>
          </m:r>
          <m:r>
            <m:t>V</m:t>
          </m:r>
          <m:r>
            <m:t>I</m:t>
          </m:r>
          <m:r>
            <m:rPr>
              <m:sty m:val="p"/>
            </m:rPr>
            <m:t>=</m:t>
          </m:r>
          <m:f>
            <m:fPr>
              <m:type m:val="bar"/>
            </m:fPr>
            <m:num>
              <m:r>
                <m:t>R</m:t>
              </m:r>
              <m:d>
                <m:dPr>
                  <m:begChr m:val="("/>
                  <m:endChr m:val=")"/>
                  <m:sepChr m:val=""/>
                  <m:grow/>
                </m:dPr>
                <m:e>
                  <m:r>
                    <m:t>840</m:t>
                  </m:r>
                  <m:r>
                    <m:t>n</m:t>
                  </m:r>
                  <m:r>
                    <m:t>m</m:t>
                  </m:r>
                </m:e>
              </m:d>
              <m:r>
                <m:rPr>
                  <m:sty m:val="p"/>
                </m:rPr>
                <m:t>−</m:t>
              </m:r>
              <m:r>
                <m:t>R</m:t>
              </m:r>
              <m:d>
                <m:dPr>
                  <m:begChr m:val="("/>
                  <m:endChr m:val=")"/>
                  <m:sepChr m:val=""/>
                  <m:grow/>
                </m:dPr>
                <m:e>
                  <m:r>
                    <m:t>668</m:t>
                  </m:r>
                  <m:r>
                    <m:t>n</m:t>
                  </m:r>
                  <m:r>
                    <m:t>m</m:t>
                  </m:r>
                </m:e>
              </m:d>
            </m:num>
            <m:den>
              <m:r>
                <m:t>R</m:t>
              </m:r>
              <m:d>
                <m:dPr>
                  <m:begChr m:val="("/>
                  <m:endChr m:val=")"/>
                  <m:sepChr m:val=""/>
                  <m:grow/>
                </m:dPr>
                <m:e>
                  <m:r>
                    <m:t>840</m:t>
                  </m:r>
                  <m:r>
                    <m:t>n</m:t>
                  </m:r>
                  <m:r>
                    <m:t>m</m:t>
                  </m:r>
                </m:e>
              </m:d>
              <m:r>
                <m:rPr>
                  <m:sty m:val="p"/>
                </m:rPr>
                <m:t>+</m:t>
              </m:r>
              <m:r>
                <m:t>R</m:t>
              </m:r>
              <m:d>
                <m:dPr>
                  <m:begChr m:val="("/>
                  <m:endChr m:val=")"/>
                  <m:sepChr m:val=""/>
                  <m:grow/>
                </m:dPr>
                <m:e>
                  <m:r>
                    <m:t>668</m:t>
                  </m:r>
                  <m:r>
                    <m:t>n</m:t>
                  </m:r>
                  <m:r>
                    <m:t>m</m:t>
                  </m:r>
                </m:e>
              </m:d>
            </m:den>
          </m:f>
          <m:r>
            <m:t>  </m:t>
          </m:r>
          <m:d>
            <m:dPr>
              <m:begChr m:val="("/>
              <m:endChr m:val=")"/>
              <m:sepChr m:val=""/>
              <m:grow/>
            </m:dPr>
            <m:e>
              <m:r>
                <m:t>3.2</m:t>
              </m:r>
            </m:e>
          </m:d>
        </m:oMath>
      </m:oMathPara>
      <w:bookmarkEnd w:id="200"/>
    </w:p>
    <w:p>
      <w:pPr>
        <w:pStyle w:val="FirstParagraph"/>
      </w:pPr>
      <w:r>
        <w:t xml:space="preserve">where</w:t>
      </w:r>
      <w:r>
        <w:t xml:space="preserve"> </w:t>
      </w:r>
      <m:oMath>
        <m:r>
          <m:t>R</m:t>
        </m:r>
        <m:d>
          <m:dPr>
            <m:begChr m:val="("/>
            <m:endChr m:val=")"/>
            <m:sepChr m:val=""/>
            <m:grow/>
          </m:dPr>
          <m:e>
            <m:r>
              <m:t>840</m:t>
            </m:r>
            <m:r>
              <m:t>n</m:t>
            </m:r>
            <m:r>
              <m:t>m</m:t>
            </m:r>
          </m:e>
        </m:d>
      </m:oMath>
      <w:r>
        <w:t xml:space="preserve"> </w:t>
      </w:r>
      <w:r>
        <w:t xml:space="preserve">is the reflectance at 840 nm and</w:t>
      </w:r>
      <w:r>
        <w:t xml:space="preserve"> </w:t>
      </w:r>
      <m:oMath>
        <m:r>
          <m:t>R</m:t>
        </m:r>
        <m:d>
          <m:dPr>
            <m:begChr m:val="("/>
            <m:endChr m:val=")"/>
            <m:sepChr m:val=""/>
            <m:grow/>
          </m:dPr>
          <m:e>
            <m:r>
              <m:t>668</m:t>
            </m:r>
            <m:r>
              <m:t>n</m:t>
            </m:r>
            <m:r>
              <m:t>m</m:t>
            </m:r>
          </m:e>
        </m:d>
      </m:oMath>
      <w:r>
        <w:t xml:space="preserve"> </w:t>
      </w:r>
      <w:r>
        <w:t xml:space="preserve">is the reflectance at 668 nm.</w:t>
      </w:r>
    </w:p>
    <w:bookmarkEnd w:id="201"/>
    <w:bookmarkStart w:id="202"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 Classification Of Vegetation.</w:t>
      </w:r>
    </w:p>
    <w:bookmarkEnd w:id="202"/>
    <w:bookmarkStart w:id="203"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reflectances at both heights is crucial. This comparison was conducted at sites where low and high-altitude flights overlapped. To compare reflectances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03"/>
    <w:bookmarkEnd w:id="204"/>
    <w:bookmarkStart w:id="205"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05"/>
    <w:bookmarkStart w:id="206"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06"/>
    <w:bookmarkStart w:id="207"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behavior in mixed vegetation scenarios. It helped to understand the minimum vegetation cover of a given class within a pixel necessary for the model to confidently predict that class.</w:t>
      </w:r>
    </w:p>
    <w:bookmarkEnd w:id="207"/>
    <w:bookmarkEnd w:id="208"/>
    <w:bookmarkStart w:id="251" w:name="results-1"/>
    <w:p>
      <w:pPr>
        <w:pStyle w:val="Heading2"/>
      </w:pPr>
      <w:r>
        <w:t xml:space="preserve">3.3 Results</w:t>
      </w:r>
    </w:p>
    <w:bookmarkStart w:id="213"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2" w:name="fig-CompareRef"/>
          <w:p>
            <w:pPr>
              <w:pStyle w:val="Compact"/>
              <w:jc w:val="center"/>
            </w:pPr>
            <w:r>
              <w:drawing>
                <wp:inline>
                  <wp:extent cx="5646420" cy="2426196"/>
                  <wp:effectExtent b="0" l="0" r="0" t="0"/>
                  <wp:docPr descr="" title="" id="210" name="Picture"/>
                  <a:graphic>
                    <a:graphicData uri="http://schemas.openxmlformats.org/drawingml/2006/picture">
                      <pic:pic>
                        <pic:nvPicPr>
                          <pic:cNvPr descr="Chapter3/Figs/Figure4.png" id="211" name="Picture"/>
                          <pic:cNvPicPr>
                            <a:picLocks noChangeArrowheads="1" noChangeAspect="1"/>
                          </pic:cNvPicPr>
                        </pic:nvPicPr>
                        <pic:blipFill>
                          <a:blip r:embed="rId209"/>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
              <w:r>
                <w:rPr>
                  <w:rStyle w:val="Hyperlink"/>
                </w:rPr>
                <w:t xml:space="preserve">Equation 3.1</w:t>
              </w:r>
            </w:hyperlink>
            <w:r>
              <w:t xml:space="preserve">).</w:t>
            </w:r>
          </w:p>
          <w:bookmarkEnd w:id="212"/>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infrared part of the spectrum. This difference was not present when the reflectance has been standardized (</w:t>
      </w:r>
      <w:hyperlink w:anchor="eq-std">
        <w:r>
          <w:rPr>
            <w:rStyle w:val="Hyperlink"/>
          </w:rPr>
          <w:t xml:space="preserve">Equation 3.1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13"/>
    <w:bookmarkStart w:id="230"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colors of this species could be observed: dark green (corresponding to healthy leaves) and brown (when leaves are senescent or have an altered pigment composition). Regardless of the variation of color,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17" w:name="fig-GafLow"/>
          <w:p>
            <w:pPr>
              <w:pStyle w:val="Compact"/>
              <w:jc w:val="center"/>
            </w:pPr>
            <w:r>
              <w:drawing>
                <wp:inline>
                  <wp:extent cx="5646420" cy="2937902"/>
                  <wp:effectExtent b="0" l="0" r="0" t="0"/>
                  <wp:docPr descr="" title="" id="215" name="Picture"/>
                  <a:graphic>
                    <a:graphicData uri="http://schemas.openxmlformats.org/drawingml/2006/picture">
                      <pic:pic>
                        <pic:nvPicPr>
                          <pic:cNvPr descr="Chapter3/Figs/Figure5.png" id="216" name="Picture"/>
                          <pic:cNvPicPr>
                            <a:picLocks noChangeArrowheads="1" noChangeAspect="1"/>
                          </pic:cNvPicPr>
                        </pic:nvPicPr>
                        <pic:blipFill>
                          <a:blip r:embed="rId214"/>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10-meter Sentinel-2 pixel size.</w:t>
            </w:r>
          </w:p>
          <w:bookmarkEnd w:id="217"/>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21" w:name="fig-GafHigh"/>
          <w:p>
            <w:pPr>
              <w:pStyle w:val="Compact"/>
              <w:jc w:val="center"/>
            </w:pPr>
            <w:r>
              <w:drawing>
                <wp:inline>
                  <wp:extent cx="5646420" cy="4800778"/>
                  <wp:effectExtent b="0" l="0" r="0" t="0"/>
                  <wp:docPr descr="" title="" id="219" name="Picture"/>
                  <a:graphic>
                    <a:graphicData uri="http://schemas.openxmlformats.org/drawingml/2006/picture">
                      <pic:pic>
                        <pic:nvPicPr>
                          <pic:cNvPr descr="Chapter3/Figs/Figure6.png" id="220" name="Picture"/>
                          <pic:cNvPicPr>
                            <a:picLocks noChangeArrowheads="1" noChangeAspect="1"/>
                          </pic:cNvPicPr>
                        </pic:nvPicPr>
                        <pic:blipFill>
                          <a:blip r:embed="rId218"/>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10-meter Sentinel-2 pixel size.</w:t>
            </w:r>
          </w:p>
          <w:bookmarkEnd w:id="221"/>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25" w:name="fig-Boat"/>
          <w:p>
            <w:pPr>
              <w:pStyle w:val="Compact"/>
              <w:jc w:val="center"/>
            </w:pPr>
            <w:r>
              <w:drawing>
                <wp:inline>
                  <wp:extent cx="5646420" cy="7129639"/>
                  <wp:effectExtent b="0" l="0" r="0" t="0"/>
                  <wp:docPr descr="" title="" id="223" name="Picture"/>
                  <a:graphic>
                    <a:graphicData uri="http://schemas.openxmlformats.org/drawingml/2006/picture">
                      <pic:pic>
                        <pic:nvPicPr>
                          <pic:cNvPr descr="Chapter3/Figs/Figure7.png" id="224" name="Picture"/>
                          <pic:cNvPicPr>
                            <a:picLocks noChangeArrowheads="1" noChangeAspect="1"/>
                          </pic:cNvPicPr>
                        </pic:nvPicPr>
                        <pic:blipFill>
                          <a:blip r:embed="rId222"/>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10-meter Sentinel-2 pixel.</w:t>
            </w:r>
          </w:p>
          <w:bookmarkEnd w:id="225"/>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29" w:name="fig-Dike"/>
          <w:p>
            <w:pPr>
              <w:pStyle w:val="Compact"/>
              <w:jc w:val="center"/>
            </w:pPr>
            <w:r>
              <w:drawing>
                <wp:inline>
                  <wp:extent cx="5646420" cy="4714079"/>
                  <wp:effectExtent b="0" l="0" r="0" t="0"/>
                  <wp:docPr descr="" title="" id="227" name="Picture"/>
                  <a:graphic>
                    <a:graphicData uri="http://schemas.openxmlformats.org/drawingml/2006/picture">
                      <pic:pic>
                        <pic:nvPicPr>
                          <pic:cNvPr descr="Chapter3/Figs/Figure8.png" id="228" name="Picture"/>
                          <pic:cNvPicPr>
                            <a:picLocks noChangeArrowheads="1" noChangeAspect="1"/>
                          </pic:cNvPicPr>
                        </pic:nvPicPr>
                        <pic:blipFill>
                          <a:blip r:embed="rId226"/>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10-meter Sentinel-2 pixel size.</w:t>
            </w:r>
          </w:p>
          <w:bookmarkEnd w:id="229"/>
        </w:tc>
      </w:tr>
    </w:tbl>
    <w:bookmarkEnd w:id="230"/>
    <w:bookmarkStart w:id="235"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4" w:name="fig-Validation"/>
          <w:p>
            <w:pPr>
              <w:pStyle w:val="Compact"/>
              <w:jc w:val="center"/>
            </w:pPr>
            <w:r>
              <w:drawing>
                <wp:inline>
                  <wp:extent cx="5646420" cy="3781151"/>
                  <wp:effectExtent b="0" l="0" r="0" t="0"/>
                  <wp:docPr descr="" title="" id="232" name="Picture"/>
                  <a:graphic>
                    <a:graphicData uri="http://schemas.openxmlformats.org/drawingml/2006/picture">
                      <pic:pic>
                        <pic:nvPicPr>
                          <pic:cNvPr descr="Chapter3/Figs/Figure9.png" id="233" name="Picture"/>
                          <pic:cNvPicPr>
                            <a:picLocks noChangeArrowheads="1" noChangeAspect="1"/>
                          </pic:cNvPicPr>
                        </pic:nvPicPr>
                        <pic:blipFill>
                          <a:blip r:embed="rId231"/>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34"/>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35"/>
    <w:bookmarkStart w:id="240"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9" w:name="fig-VIP"/>
          <w:p>
            <w:pPr>
              <w:pStyle w:val="Compact"/>
              <w:jc w:val="center"/>
            </w:pPr>
            <w:r>
              <w:drawing>
                <wp:inline>
                  <wp:extent cx="5646420" cy="4164933"/>
                  <wp:effectExtent b="0" l="0" r="0" t="0"/>
                  <wp:docPr descr="" title="" id="237" name="Picture"/>
                  <a:graphic>
                    <a:graphicData uri="http://schemas.openxmlformats.org/drawingml/2006/picture">
                      <pic:pic>
                        <pic:nvPicPr>
                          <pic:cNvPr descr="Chapter3/Figs/Figure10.png" id="238" name="Picture"/>
                          <pic:cNvPicPr>
                            <a:picLocks noChangeArrowheads="1" noChangeAspect="1"/>
                          </pic:cNvPicPr>
                        </pic:nvPicPr>
                        <pic:blipFill>
                          <a:blip r:embed="rId236"/>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39"/>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40"/>
    <w:bookmarkStart w:id="245"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44" w:name="fig-pixelsize"/>
          <w:p>
            <w:pPr>
              <w:pStyle w:val="Compact"/>
              <w:jc w:val="center"/>
            </w:pPr>
            <w:r>
              <w:drawing>
                <wp:inline>
                  <wp:extent cx="5349240" cy="4312690"/>
                  <wp:effectExtent b="0" l="0" r="0" t="0"/>
                  <wp:docPr descr="" title="" id="242" name="Picture"/>
                  <a:graphic>
                    <a:graphicData uri="http://schemas.openxmlformats.org/drawingml/2006/picture">
                      <pic:pic>
                        <pic:nvPicPr>
                          <pic:cNvPr descr="Chapter3/Figs/Figure11.png" id="243" name="Picture"/>
                          <pic:cNvPicPr>
                            <a:picLocks noChangeArrowheads="1" noChangeAspect="1"/>
                          </pic:cNvPicPr>
                        </pic:nvPicPr>
                        <pic:blipFill>
                          <a:blip r:embed="rId241"/>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44"/>
        </w:tc>
      </w:tr>
    </w:tbl>
    <w:bookmarkEnd w:id="245"/>
    <w:bookmarkStart w:id="250"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49" w:name="fig-upscaling"/>
          <w:p>
            <w:pPr>
              <w:pStyle w:val="Compact"/>
              <w:jc w:val="center"/>
            </w:pPr>
            <w:r>
              <w:drawing>
                <wp:inline>
                  <wp:extent cx="5646420" cy="7578268"/>
                  <wp:effectExtent b="0" l="0" r="0" t="0"/>
                  <wp:docPr descr="" title="" id="247" name="Picture"/>
                  <a:graphic>
                    <a:graphicData uri="http://schemas.openxmlformats.org/drawingml/2006/picture">
                      <pic:pic>
                        <pic:nvPicPr>
                          <pic:cNvPr descr="Chapter3/Figs/Figure12.png" id="248" name="Picture"/>
                          <pic:cNvPicPr>
                            <a:picLocks noChangeArrowheads="1" noChangeAspect="1"/>
                          </pic:cNvPicPr>
                        </pic:nvPicPr>
                        <pic:blipFill>
                          <a:blip r:embed="rId246"/>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49"/>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microphytobenthos migration to the sediment surface during low tide, consequently altering the model’s classification from bare sediment to Bacillariophyceae.</w:t>
      </w:r>
    </w:p>
    <w:bookmarkEnd w:id="250"/>
    <w:bookmarkEnd w:id="251"/>
    <w:bookmarkStart w:id="264" w:name="discussion-1"/>
    <w:p>
      <w:pPr>
        <w:pStyle w:val="Heading2"/>
      </w:pPr>
      <w:r>
        <w:t xml:space="preserve">3.4 Discussion</w:t>
      </w:r>
    </w:p>
    <w:bookmarkStart w:id="260"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2021a; Veettil et al., 2020b)</w:t>
      </w:r>
      <w:r>
        <w:t xml:space="preserve">. These two macrophytes share a similar pigment composition: chlorophyll-a (common to all vegetation types), chlorophyll-b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remote sensing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(B. F. R. 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55" w:name="fig-Pigm"/>
          <w:p>
            <w:pPr>
              <w:pStyle w:val="Compact"/>
              <w:jc w:val="center"/>
            </w:pPr>
            <w:r>
              <w:drawing>
                <wp:inline>
                  <wp:extent cx="5943600" cy="2877014"/>
                  <wp:effectExtent b="0" l="0" r="0" t="0"/>
                  <wp:docPr descr="" title="" id="253" name="Picture"/>
                  <a:graphic>
                    <a:graphicData uri="http://schemas.openxmlformats.org/drawingml/2006/picture">
                      <pic:pic>
                        <pic:nvPicPr>
                          <pic:cNvPr descr="Chapter3/Figs/Figure13.png" id="254" name="Picture"/>
                          <pic:cNvPicPr>
                            <a:picLocks noChangeArrowheads="1" noChangeAspect="1"/>
                          </pic:cNvPicPr>
                        </pic:nvPicPr>
                        <pic:blipFill>
                          <a:blip r:embed="rId252"/>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2022a; Méléder et al., 2013b; Ralph et al., 2002)</w:t>
            </w:r>
            <w:r>
              <w:t xml:space="preserve">.</w:t>
            </w:r>
          </w:p>
          <w:bookmarkEnd w:id="255"/>
        </w:tc>
      </w:tr>
    </w:tbl>
    <w:tbl>
      <w:tblPr>
        <w:tblStyle w:val="Table"/>
        <w:tblW w:type="pct" w:w="5000"/>
        <w:tblLayout w:type="fixed"/>
        <w:tblLook w:firstRow="0" w:lastRow="0" w:firstColumn="0" w:lastColumn="0" w:noHBand="0" w:noVBand="0" w:val="0000"/>
      </w:tblPr>
      <w:tblGrid>
        <w:gridCol w:w="7920"/>
      </w:tblGrid>
      <w:tr>
        <w:tc>
          <w:tcPr/>
          <w:bookmarkStart w:id="259" w:name="fig-ValidationGreen"/>
          <w:p>
            <w:pPr>
              <w:pStyle w:val="Compact"/>
              <w:jc w:val="center"/>
            </w:pPr>
            <w:r>
              <w:drawing>
                <wp:inline>
                  <wp:extent cx="2971800" cy="2121448"/>
                  <wp:effectExtent b="0" l="0" r="0" t="0"/>
                  <wp:docPr descr="" title="" id="257" name="Picture"/>
                  <a:graphic>
                    <a:graphicData uri="http://schemas.openxmlformats.org/drawingml/2006/picture">
                      <pic:pic>
                        <pic:nvPicPr>
                          <pic:cNvPr descr="Chapter3/Figs/Figure14.png" id="258" name="Picture"/>
                          <pic:cNvPicPr>
                            <a:picLocks noChangeArrowheads="1" noChangeAspect="1"/>
                          </pic:cNvPicPr>
                        </pic:nvPicPr>
                        <pic:blipFill>
                          <a:blip r:embed="rId256"/>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259"/>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(A. Bargain et al., 2013a)</w:t>
      </w:r>
      <w:r>
        <w:t xml:space="preserve">, cellular structure as well as in the orientation of the plant at the sediment surface</w:t>
      </w:r>
      <w:r>
        <w:t xml:space="preserve"> </w:t>
      </w:r>
      <w:r>
        <w:t xml:space="preserve">(K. Beach et al., 1997; John D. Hedley et al., 2018b; Kirk, 1994b)</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chlorophyll-a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infrared part of the spectra</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260"/>
    <w:bookmarkStart w:id="261"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2000)</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Root Mean Square Error (RMSE) of 0.02 (</w:t>
      </w:r>
      <w:hyperlink w:anchor="fig-CompareRef">
        <w:r>
          <w:rPr>
            <w:rStyle w:val="Hyperlink"/>
          </w:rPr>
          <w:t xml:space="preserve">Figure 3.4</w:t>
        </w:r>
      </w:hyperlink>
      <w:r>
        <w:t xml:space="preserve">). This result indicates that the reflectance measured by remote sensing (RS) sensors was not significantly influenced by pixel size for these two altitude.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infrared part of the spectra in the high-altitude dataset (</w:t>
      </w:r>
      <w:hyperlink w:anchor="fig-CompareRef">
        <w:r>
          <w:rPr>
            <w:rStyle w:val="Hyperlink"/>
          </w:rPr>
          <w:t xml:space="preserve">Figure 3.4</w:t>
        </w:r>
      </w:hyperlink>
      <w:r>
        <w:t xml:space="preserve">). Such disparity in infrared reflectance may stem from temporal differences between the flights, possibly resulting in a slightly drier intertidal area and consequently higher infrared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
        <w:r>
          <w:rPr>
            <w:rStyle w:val="Hyperlink"/>
          </w:rPr>
          <w:t xml:space="preserve">Equation 3.1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(A. Bargain et al., 2013a; Légaré et al., 2022b)</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S.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261"/>
    <w:bookmarkStart w:id="262"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accuratly retrieving vegetation areas from remote sensing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an heterogeneous distribution, the precision provided by higher-resolution imagery is crucial, despite the additional costs and processing challenges it imposes.</w:t>
      </w:r>
    </w:p>
    <w:bookmarkEnd w:id="262"/>
    <w:bookmarkStart w:id="263"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(Frank E. Muller-Karger et al., 2018b; Oiry and Barillé, 2021a; Villalobos Perna et al., 2023)</w:t>
      </w:r>
      <w:r>
        <w:t xml:space="preserve">. Our findings, particularly the improved discrimination of intertidal seagrass and green macroalgae from other intertidal vegetation classes, highlight the potential of drone-based remote sensing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2022a)</w:t>
      </w:r>
      <w:r>
        <w:t xml:space="preserve">. Satellite remote sensing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 Schreyers et al., 2021b)</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Earth Observation can bridge this gap and meet the need for systematic monitoring of coastal ecosystems over large areas</w:t>
      </w:r>
      <w:r>
        <w:t xml:space="preserve"> </w:t>
      </w:r>
      <w:r>
        <w:t xml:space="preserve">(E. Papathanasopoulou et al., 2019)</w:t>
      </w:r>
      <w:r>
        <w:t xml:space="preserve">. The retrieval of Essential Biodiversity Variables and Essential Ocean Variables through satellite observations has been increasingly common, enabling comprehensive monitoring of entire ecosystems over extended time periods</w:t>
      </w:r>
      <w:r>
        <w:t xml:space="preserve"> </w:t>
      </w:r>
      <w:r>
        <w:t xml:space="preserve">(Ratnarajah et al., 2023; Zoffoli et al., 2021b)</w:t>
      </w:r>
      <w:r>
        <w:t xml:space="preserve">. The Water Framework Directive</w:t>
      </w:r>
      <w:r>
        <w:t xml:space="preserve"> </w:t>
      </w:r>
      <w:r>
        <w:t xml:space="preserve">(European-Commission, 2000)</w:t>
      </w:r>
      <w:r>
        <w:t xml:space="preserve"> </w:t>
      </w:r>
      <w:r>
        <w:t xml:space="preserve">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2021b)</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machine-learning algorithm for satellite sensors</w:t>
      </w:r>
      <w:r>
        <w:t xml:space="preserve"> </w:t>
      </w:r>
      <w:r>
        <w:t xml:space="preserve">(Davies et al., 2024a)</w:t>
      </w:r>
      <w:r>
        <w:t xml:space="preserve">. Spatially resolved data are indeed critical for calibrating and validating satellite remote sensing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263"/>
    <w:bookmarkEnd w:id="264"/>
    <w:bookmarkStart w:id="265" w:name="conclusion"/>
    <w:p>
      <w:pPr>
        <w:pStyle w:val="Heading2"/>
      </w:pPr>
      <w:r>
        <w:t xml:space="preserve">3.5 Conclusion</w:t>
      </w:r>
    </w:p>
    <w:p>
      <w:pPr>
        <w:pStyle w:val="FirstParagraph"/>
      </w:pPr>
      <w:r>
        <w:t xml:space="preserve">The utilization of very high spatial resolution (from 8 to 80 mm) drone-based remote sensing coupled with machine learning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remote sensing tools in ecological studies and environmental monitoring, providing a foundation for future research and policy implementation aimed at ecosystem conservation and restoration.</w:t>
      </w:r>
    </w:p>
    <w:bookmarkEnd w:id="265"/>
    <w:bookmarkEnd w:id="266"/>
    <w:bookmarkStart w:id="337" w:name="X514125528e38535ebc09a97605099a5c68a5b96"/>
    <w:p>
      <w:pPr>
        <w:pStyle w:val="Heading1"/>
      </w:pPr>
      <w:r>
        <w:t xml:space="preserve">4. Monitoring of</w:t>
      </w:r>
      <w:r>
        <w:t xml:space="preserve"> </w:t>
      </w:r>
      <w:r>
        <w:rPr>
          <w:i/>
          <w:iCs/>
        </w:rPr>
        <w:t xml:space="preserve">Gracilaria vermiculophylla</w:t>
      </w:r>
      <w:r>
        <w:t xml:space="preserve">: Mapping its Distribution at the Site of its First European Observation</w:t>
      </w:r>
    </w:p>
    <w:bookmarkStart w:id="267"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w:t>
      </w:r>
      <w:r>
        <w:t xml:space="preserve"> </w:t>
      </w:r>
      <w:r>
        <w:t xml:space="preserve">In Europe, it was first observed in 1996 in the Belon estuary (France) and later in many other estuaries on the coasts of Franch Brittany</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remote sensing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Remote sensing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2021a)</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2021b)</w:t>
      </w:r>
      <w:r>
        <w:t xml:space="preserve">, seagrass</w:t>
      </w:r>
      <w:r>
        <w:t xml:space="preserve"> </w:t>
      </w:r>
      <w:r>
        <w:t xml:space="preserve">(Chand and Bollard, 2021; Duffy et al., 2018; Oiry et al., 2024b; Román et al., 2021b)</w:t>
      </w:r>
      <w:r>
        <w:t xml:space="preserve"> </w:t>
      </w:r>
      <w:r>
        <w:t xml:space="preserve">and macroalgae</w:t>
      </w:r>
      <w:r>
        <w:t xml:space="preserve"> </w:t>
      </w:r>
      <w:r>
        <w:t xml:space="preserve">(Diruit et al., 2022b; Peidro-Devesa et al., 2024)</w:t>
      </w:r>
      <w:r>
        <w:t xml:space="preserve">. While it lacks the temporal consistency of satellite missions, drone remote sensing makes it possible to acquire images at extremely high spatial resolution (i.e. cm-scale), rapidly target specific areas of interest, and provide observations in overcast conditions. In particular, the potential of drone remote sensing for monitoring the surface area occupied by IAS has been demonstrated</w:t>
      </w:r>
      <w:r>
        <w:t xml:space="preserve"> </w:t>
      </w:r>
      <w:r>
        <w:t xml:space="preserve">(Roca et al., 2022b)</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remote sensing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2024b)</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Light Detection And Ranging (LiDAR) data were concurrently acquired to map accuratly the intertidal elevation. A Generalized Linear Mixed Effect Model (GLMM) was used to examine the relationship between</w:t>
      </w:r>
      <w:r>
        <w:t xml:space="preserve"> </w:t>
      </w:r>
      <w:r>
        <w:rPr>
          <w:i/>
          <w:iCs/>
        </w:rPr>
        <w:t xml:space="preserve">G. vermiculophylla</w:t>
      </w:r>
      <w:r>
        <w:t xml:space="preserve"> </w:t>
      </w:r>
      <w:r>
        <w:t xml:space="preserve">spatial distribution and informations on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time-series of aerial images, from 1952 to 2024, was analyzed to describe the temporal changes of its distribution over the last seventy years.</w:t>
      </w:r>
    </w:p>
    <w:bookmarkEnd w:id="267"/>
    <w:bookmarkStart w:id="290" w:name="materiel-methods"/>
    <w:p>
      <w:pPr>
        <w:pStyle w:val="Heading2"/>
      </w:pPr>
      <w:r>
        <w:t xml:space="preserve">4.2 Materiel &amp; Methods</w:t>
      </w:r>
    </w:p>
    <w:bookmarkStart w:id="272"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tbl>
      <w:tblPr>
        <w:tblStyle w:val="Table"/>
        <w:tblW w:type="pct" w:w="5000"/>
        <w:tblLayout w:type="fixed"/>
        <w:tblLook w:firstRow="0" w:lastRow="0" w:firstColumn="0" w:lastColumn="0" w:noHBand="0" w:noVBand="0" w:val="0000"/>
      </w:tblPr>
      <w:tblGrid>
        <w:gridCol w:w="7920"/>
      </w:tblGrid>
      <w:tr>
        <w:tc>
          <w:tcPr/>
          <w:bookmarkStart w:id="271" w:name="fig-location_sites_g"/>
          <w:p>
            <w:pPr>
              <w:pStyle w:val="Compact"/>
              <w:jc w:val="center"/>
            </w:pPr>
            <w:r>
              <w:drawing>
                <wp:inline>
                  <wp:extent cx="5646420" cy="5646420"/>
                  <wp:effectExtent b="0" l="0" r="0" t="0"/>
                  <wp:docPr descr="" title="" id="269" name="Picture"/>
                  <a:graphic>
                    <a:graphicData uri="http://schemas.openxmlformats.org/drawingml/2006/picture">
                      <pic:pic>
                        <pic:nvPicPr>
                          <pic:cNvPr descr="Chapter4/Figs/Map_site.png" id="270" name="Picture"/>
                          <pic:cNvPicPr>
                            <a:picLocks noChangeArrowheads="1" noChangeAspect="1"/>
                          </pic:cNvPicPr>
                        </pic:nvPicPr>
                        <pic:blipFill>
                          <a:blip r:embed="rId268"/>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Estuariy, Spain. Golden polygons represent intertidal areas.</w:t>
            </w:r>
          </w:p>
          <w:bookmarkEnd w:id="271"/>
        </w:tc>
      </w:tr>
    </w:tbl>
    <w:bookmarkEnd w:id="272"/>
    <w:bookmarkStart w:id="282"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276" w:name="fig-PictureFigure_G"/>
          <w:p>
            <w:pPr>
              <w:pStyle w:val="Compact"/>
              <w:jc w:val="center"/>
            </w:pPr>
            <w:r>
              <w:drawing>
                <wp:inline>
                  <wp:extent cx="5646420" cy="7910634"/>
                  <wp:effectExtent b="0" l="0" r="0" t="0"/>
                  <wp:docPr descr="" title="" id="274" name="Picture"/>
                  <a:graphic>
                    <a:graphicData uri="http://schemas.openxmlformats.org/drawingml/2006/picture">
                      <pic:pic>
                        <pic:nvPicPr>
                          <pic:cNvPr descr="Chapter4/Figs/FigurePictures.png" id="275" name="Picture"/>
                          <pic:cNvPicPr>
                            <a:picLocks noChangeArrowheads="1" noChangeAspect="1"/>
                          </pic:cNvPicPr>
                        </pic:nvPicPr>
                        <pic:blipFill>
                          <a:blip r:embed="rId273"/>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howing cylindrical branches; C: Landscape view of mudflats covered by monospecific mats of G. vermiculophylla; D: Recording of the spectral signature of the algae using an ASD FieldSpec HandHeld 2 spectroradiometer.</w:t>
            </w:r>
          </w:p>
          <w:bookmarkEnd w:id="276"/>
        </w:tc>
      </w:tr>
    </w:tbl>
    <w:bookmarkStart w:id="278"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277" w:name="eq-SecondDerivative"/>
      <m:oMathPara>
        <m:oMathParaPr>
          <m:jc m:val="center"/>
        </m:oMathParaPr>
        <m:oMath>
          <m:r>
            <m:t>f</m:t>
          </m:r>
          <m:r>
            <m:rPr>
              <m:sty m:val="p"/>
            </m:rPr>
            <m:t>″</m:t>
          </m:r>
          <m:d>
            <m:dPr>
              <m:begChr m:val="("/>
              <m:endChr m:val=")"/>
              <m:sepChr m:val=""/>
              <m:grow/>
            </m:dPr>
            <m:e>
              <m:sSub>
                <m:e>
                  <m:r>
                    <m:t>λ</m:t>
                  </m:r>
                </m:e>
                <m:sub>
                  <m:r>
                    <m:t>i</m:t>
                  </m:r>
                </m:sub>
              </m:sSub>
            </m:e>
          </m:d>
          <m:r>
            <m:rPr>
              <m:sty m:val="p"/>
            </m:rPr>
            <m:t>≈</m:t>
          </m:r>
          <m:f>
            <m:fPr>
              <m:type m:val="bar"/>
            </m:fPr>
            <m:num>
              <m:r>
                <m:t>f</m:t>
              </m:r>
              <m:d>
                <m:dPr>
                  <m:begChr m:val="("/>
                  <m:endChr m:val=")"/>
                  <m:sepChr m:val=""/>
                  <m:grow/>
                </m:dPr>
                <m:e>
                  <m:sSub>
                    <m:e>
                      <m:r>
                        <m:t>λ</m:t>
                      </m:r>
                    </m:e>
                    <m:sub>
                      <m:r>
                        <m:t>i</m:t>
                      </m:r>
                      <m:r>
                        <m:rPr>
                          <m:sty m:val="p"/>
                        </m:rPr>
                        <m:t>+</m:t>
                      </m:r>
                      <m:r>
                        <m:t>1</m:t>
                      </m:r>
                    </m:sub>
                  </m:sSub>
                </m:e>
              </m:d>
              <m:r>
                <m:rPr>
                  <m:sty m:val="p"/>
                </m:rPr>
                <m:t>−</m:t>
              </m:r>
              <m:r>
                <m:t>2</m:t>
              </m:r>
              <m:r>
                <m:t>f</m:t>
              </m:r>
              <m:d>
                <m:dPr>
                  <m:begChr m:val="("/>
                  <m:endChr m:val=")"/>
                  <m:sepChr m:val=""/>
                  <m:grow/>
                </m:dPr>
                <m:e>
                  <m:sSub>
                    <m:e>
                      <m:r>
                        <m:t>λ</m:t>
                      </m:r>
                    </m:e>
                    <m:sub>
                      <m:r>
                        <m:t>i</m:t>
                      </m:r>
                    </m:sub>
                  </m:sSub>
                </m:e>
              </m:d>
              <m:r>
                <m:rPr>
                  <m:sty m:val="p"/>
                </m:rPr>
                <m:t>+</m:t>
              </m:r>
              <m:r>
                <m:t>f</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277"/>
    </w:p>
    <w:p>
      <w:pPr>
        <w:pStyle w:val="FirstParagraph"/>
      </w:pPr>
      <w:r>
        <w:t xml:space="preserve">where</w:t>
      </w:r>
      <w:r>
        <w:t xml:space="preserve"> </w:t>
      </w:r>
      <m:oMath>
        <m:r>
          <m:t>f</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278"/>
    <w:bookmarkStart w:id="281"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279"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near-infrared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279"/>
    <w:bookmarkStart w:id="280"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Digital Surface Model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280"/>
    <w:bookmarkEnd w:id="281"/>
    <w:bookmarkEnd w:id="282"/>
    <w:bookmarkStart w:id="287"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(2024b)</w:t>
      </w:r>
      <w:r>
        <w:t xml:space="preserve">), which was successfully applied to Micasense reflectance data for mapping intertidal vegetation along the Portuguese and French Atlantic coasts. In this study, the DISCOV v1.0 algorithm architecture and training dataset were utilized and enhanced</w:t>
      </w:r>
      <w:r>
        <w:t xml:space="preserve"> </w:t>
      </w:r>
      <w:hyperlink w:anchor="fig-Workflow_g">
        <w:r>
          <w:rPr>
            <w:rStyle w:val="Hyperlink"/>
          </w:rPr>
          <w:t xml:space="preserve">Figure 4.3</w:t>
        </w:r>
      </w:hyperlink>
      <w:r>
        <w:t xml:space="preserve"> </w:t>
      </w:r>
      <w:r>
        <w:t xml:space="preserve">to create DISCOV v2.0. Initially, DISCOV v1.0 model was trained with 5771 Rhodophyceae pixels, constituting only 3% of the training dataset</w:t>
      </w:r>
      <w:r>
        <w:t xml:space="preserve"> </w:t>
      </w:r>
      <w:r>
        <w:t xml:space="preserve">(Oiry et al., 2024b)</w:t>
      </w:r>
      <w:r>
        <w:t xml:space="preserve">. To address this limitation, the training dataset for DISCOV v2.0 was expanded with 427.000 (</w:t>
      </w:r>
      <w:hyperlink w:anchor="sec-AnnexeA">
        <w:r>
          <w:rPr>
            <w:rStyle w:val="Hyperlink"/>
          </w:rPr>
          <w:t xml:space="preserve">Section 4.6.1</w:t>
        </w:r>
      </w:hyperlink>
      <w:r>
        <w:t xml:space="preserve">) new training pixels collected from the four drone flights over</w:t>
      </w:r>
      <w:r>
        <w:t xml:space="preserve"> </w:t>
      </w:r>
      <w:r>
        <w:rPr>
          <w:i/>
          <w:iCs/>
        </w:rPr>
        <w:t xml:space="preserve">G. vermiculophylla</w:t>
      </w:r>
      <w:r>
        <w:t xml:space="preserve">-dominated sites (</w:t>
      </w:r>
      <w:hyperlink w:anchor="sec-DroneFlights">
        <w:r>
          <w:rPr>
            <w:rStyle w:val="Hyperlink"/>
          </w:rPr>
          <w:t xml:space="preserve">Section 4.2.2</w:t>
        </w:r>
      </w:hyperlink>
      <w:r>
        <w:t xml:space="preserve">).</w:t>
      </w:r>
    </w:p>
    <w:p>
      <w:pPr>
        <w:pStyle w:val="BodyText"/>
      </w:pPr>
      <w:r>
        <w:t xml:space="preserve">To validate the DISCOV V2.0 model, a user-friendly Shiny app was developed. This app enabled independent users to photo-interpret snapshots of the ortho-mosaic from each drone flight</w:t>
      </w:r>
      <w:r>
        <w:t xml:space="preserve"> </w:t>
      </w:r>
      <w:r>
        <w:t xml:space="preserve">(Chang et al., 2024; Oiry, 2024)</w:t>
      </w:r>
      <w:r>
        <w:t xml:space="preserve">. Users could select on various parts of the snapshots to indicate the type of vegetation they believed was present. Using this method, three independent users helped create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binary categories: the presence or absence of red macrolgae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6" w:name="fig-Workflow_g"/>
          <w:p>
            <w:pPr>
              <w:pStyle w:val="Compact"/>
              <w:jc w:val="center"/>
            </w:pPr>
            <w:r>
              <w:drawing>
                <wp:inline>
                  <wp:extent cx="5646420" cy="4298400"/>
                  <wp:effectExtent b="0" l="0" r="0" t="0"/>
                  <wp:docPr descr="" title="" id="284" name="Picture"/>
                  <a:graphic>
                    <a:graphicData uri="http://schemas.openxmlformats.org/drawingml/2006/picture">
                      <pic:pic>
                        <pic:nvPicPr>
                          <pic:cNvPr descr="Chapter4/Figs/Flowchart_gracillaria.png" id="285" name="Picture"/>
                          <pic:cNvPicPr>
                            <a:picLocks noChangeArrowheads="1" noChangeAspect="1"/>
                          </pic:cNvPicPr>
                        </pic:nvPicPr>
                        <pic:blipFill>
                          <a:blip r:embed="rId283"/>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286"/>
        </w:tc>
      </w:tr>
    </w:tbl>
    <w:bookmarkEnd w:id="287"/>
    <w:bookmarkStart w:id="288" w:name="Xee2dddcaa1211a6f2116377e612da7626914bc1"/>
    <w:p>
      <w:pPr>
        <w:pStyle w:val="Heading3"/>
      </w:pPr>
      <w:r>
        <w:t xml:space="preserve">4.2.4 Historical Presence of</w:t>
      </w:r>
      <w:r>
        <w:t xml:space="preserve"> </w:t>
      </w:r>
      <w:r>
        <w:rPr>
          <w:i/>
          <w:iCs/>
        </w:rPr>
        <w:t xml:space="preserve">Gracilaria vermiculophylla</w:t>
      </w:r>
      <w:r>
        <w:t xml:space="preserve"> </w:t>
      </w:r>
      <w:r>
        <w:t xml:space="preserve">in the Bélon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French</w:t>
      </w:r>
      <w:r>
        <w:t xml:space="preserve"> </w:t>
      </w:r>
      <w:r>
        <w:t xml:space="preserve">“Institut National de l’information Geographique et forestiere”</w:t>
      </w:r>
      <w:r>
        <w:t xml:space="preserve"> </w:t>
      </w:r>
      <w:r>
        <w:t xml:space="preserve">(IGN)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As most of the images obtained from</w:t>
      </w:r>
      <w:r>
        <w:t xml:space="preserve"> </w:t>
      </w:r>
      <w:r>
        <w:t xml:space="preserve">“Remonter Le Temps”</w:t>
      </w:r>
      <w:r>
        <w:t xml:space="preserve"> </w:t>
      </w:r>
      <w:r>
        <w:t xml:space="preserve">were digitized versions of physical photographs, inital georeferencing was conducted manually using QGIS software</w:t>
      </w:r>
      <w:r>
        <w:t xml:space="preserve"> </w:t>
      </w:r>
      <w:r>
        <w:t xml:space="preserve">(QGIS Development Team, 2024)</w:t>
      </w:r>
      <w:r>
        <w:t xml:space="preserve">.</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288"/>
    <w:bookmarkStart w:id="289" w:name="statistical-analysis-1"/>
    <w:p>
      <w:pPr>
        <w:pStyle w:val="Heading3"/>
      </w:pPr>
      <w:r>
        <w:t xml:space="preserve">4.2.5 Statistical analysis</w:t>
      </w:r>
    </w:p>
    <w:p>
      <w:pPr>
        <w:pStyle w:val="FirstParagraph"/>
      </w:pPr>
      <w:r>
        <w:t xml:space="preserve">We used a Generalized Linear Mixed Model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modeled using a Beta distribution as a function of bathymetry elevation and the angle of the mudflat (categorized as Flat, Angled, Steep). A random intercept for site was included to account for potential hierarchical variation among sampling sites. The Beta distribution was chosen because the response variable was continuous and constrained between 0 and 1. We visually assessed sample vs. fitted residuals and quartile–quartile (Q-Q) plots to ensure that the model assumptions, including appropriate model fit and absence of patterns in residuals, were satisfied.</w:t>
      </w:r>
    </w:p>
    <w:bookmarkEnd w:id="289"/>
    <w:bookmarkEnd w:id="290"/>
    <w:bookmarkStart w:id="314" w:name="results-2"/>
    <w:p>
      <w:pPr>
        <w:pStyle w:val="Heading2"/>
      </w:pPr>
      <w:r>
        <w:t xml:space="preserve">4.3 Results</w:t>
      </w:r>
    </w:p>
    <w:bookmarkStart w:id="299"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hyperlink w:anchor="fig-HistoricalMap_g">
        <w:r>
          <w:rPr>
            <w:rStyle w:val="Hyperlink"/>
          </w:rPr>
          <w:t xml:space="preserve">Figure 4.4</w:t>
        </w:r>
      </w:hyperlink>
      <w:r>
        <w:t xml:space="preserve">). In the 50s, the tidal flats showed no detectable presence of vegetation. During the 70s some darkening of the sediment became discernible, but the first clear and unambiguous presence of</w:t>
      </w:r>
      <w:r>
        <w:t xml:space="preserve"> </w:t>
      </w:r>
      <w:r>
        <w:rPr>
          <w:i/>
          <w:iCs/>
        </w:rPr>
        <w:t xml:space="preserve">G. vermiculophylla</w:t>
      </w:r>
      <w:r>
        <w:t xml:space="preserve"> </w:t>
      </w:r>
      <w:r>
        <w:t xml:space="preserve">was recorded in 1982. During the subsequent decades, the cover of algae increased and in 2024, the high-resolution drone mapping showed that the mudflat was exclusively colonised by monospecific mats of</w:t>
      </w:r>
      <w:r>
        <w:t xml:space="preserve"> </w:t>
      </w:r>
      <w:r>
        <w:rPr>
          <w:i/>
          <w:iCs/>
        </w:rPr>
        <w:t xml:space="preserve">G. vermiculophylla</w:t>
      </w:r>
      <w:r>
        <w:t xml:space="preserve">.</w:t>
      </w:r>
    </w:p>
    <w:tbl>
      <w:tblPr>
        <w:tblStyle w:val="Table"/>
        <w:tblW w:type="pct" w:w="5000"/>
        <w:tblLayout w:type="fixed"/>
        <w:tblLook w:firstRow="0" w:lastRow="0" w:firstColumn="0" w:lastColumn="0" w:noHBand="0" w:noVBand="0" w:val="0000"/>
      </w:tblPr>
      <w:tblGrid>
        <w:gridCol w:w="7920"/>
      </w:tblGrid>
      <w:tr>
        <w:tc>
          <w:tcPr/>
          <w:bookmarkStart w:id="294" w:name="fig-HistoricalMap_g"/>
          <w:p>
            <w:pPr>
              <w:pStyle w:val="Compact"/>
              <w:jc w:val="center"/>
            </w:pPr>
            <w:r>
              <w:drawing>
                <wp:inline>
                  <wp:extent cx="5646420" cy="2552181"/>
                  <wp:effectExtent b="0" l="0" r="0" t="0"/>
                  <wp:docPr descr="" title="" id="292" name="Picture"/>
                  <a:graphic>
                    <a:graphicData uri="http://schemas.openxmlformats.org/drawingml/2006/picture">
                      <pic:pic>
                        <pic:nvPicPr>
                          <pic:cNvPr descr="Chapter4/Figs/Historical_maps.png" id="293" name="Picture"/>
                          <pic:cNvPicPr>
                            <a:picLocks noChangeArrowheads="1" noChangeAspect="1"/>
                          </pic:cNvPicPr>
                        </pic:nvPicPr>
                        <pic:blipFill>
                          <a:blip r:embed="rId291"/>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294"/>
        </w:tc>
      </w:tr>
    </w:tbl>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hyperlink w:anchor="fig-HistoricalPlot_g">
        <w:r>
          <w:rPr>
            <w:rStyle w:val="Hyperlink"/>
          </w:rPr>
          <w:t xml:space="preserve">Figure 4.5</w:t>
        </w:r>
      </w:hyperlink>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298" w:name="fig-HistoricalPlot_g"/>
          <w:p>
            <w:pPr>
              <w:pStyle w:val="Compact"/>
              <w:jc w:val="center"/>
            </w:pPr>
            <w:r>
              <w:drawing>
                <wp:inline>
                  <wp:extent cx="5646420" cy="3387852"/>
                  <wp:effectExtent b="0" l="0" r="0" t="0"/>
                  <wp:docPr descr="" title="" id="296" name="Picture"/>
                  <a:graphic>
                    <a:graphicData uri="http://schemas.openxmlformats.org/drawingml/2006/picture">
                      <pic:pic>
                        <pic:nvPicPr>
                          <pic:cNvPr descr="Chapter4/Figs/Cover_Gracillaria_vs_Time.png" id="297" name="Picture"/>
                          <pic:cNvPicPr>
                            <a:picLocks noChangeArrowheads="1" noChangeAspect="1"/>
                          </pic:cNvPicPr>
                        </pic:nvPicPr>
                        <pic:blipFill>
                          <a:blip r:embed="rId295"/>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 Gracilaria vermiculophylla cover in the Belon Estuary (at Pont du Guilly). The red vertical line indicates the date of Crassostrea gigas introduction in South Brittany</w:t>
            </w:r>
            <w:r>
              <w:t xml:space="preserve"> </w:t>
            </w:r>
            <w:r>
              <w:t xml:space="preserve">(Grizel and Heral, 1991)</w:t>
            </w:r>
            <w:r>
              <w:t xml:space="preserve">, while the golden line represents the date of the first documented mention of Gracilaria vermiculophylla presence in Europe which was in the Belon Esturay</w:t>
            </w:r>
            <w:r>
              <w:t xml:space="preserve"> </w:t>
            </w:r>
            <w:r>
              <w:t xml:space="preserve">(Rueness, 2005)</w:t>
            </w:r>
            <w:r>
              <w:t xml:space="preserve">.</w:t>
            </w:r>
          </w:p>
          <w:bookmarkEnd w:id="298"/>
        </w:tc>
      </w:tr>
    </w:tbl>
    <w:bookmarkEnd w:id="299"/>
    <w:bookmarkStart w:id="304"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carotenoid pigments. The most pronounced absorption peak occurred at 675 nm, corresponding to chlorophyll-a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03" w:name="fig-SpecDescri"/>
          <w:p>
            <w:pPr>
              <w:pStyle w:val="Compact"/>
              <w:jc w:val="center"/>
            </w:pPr>
            <w:r>
              <w:drawing>
                <wp:inline>
                  <wp:extent cx="5646420" cy="2823210"/>
                  <wp:effectExtent b="0" l="0" r="0" t="0"/>
                  <wp:docPr descr="" title="" id="301" name="Picture"/>
                  <a:graphic>
                    <a:graphicData uri="http://schemas.openxmlformats.org/drawingml/2006/picture">
                      <pic:pic>
                        <pic:nvPicPr>
                          <pic:cNvPr descr="Chapter4/Figs/plot_spectral_signature.png" id="302" name="Picture"/>
                          <pic:cNvPicPr>
                            <a:picLocks noChangeArrowheads="1" noChangeAspect="1"/>
                          </pic:cNvPicPr>
                        </pic:nvPicPr>
                        <pic:blipFill>
                          <a:blip r:embed="rId300"/>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03"/>
        </w:tc>
      </w:tr>
    </w:tbl>
    <w:bookmarkEnd w:id="304"/>
    <w:bookmarkStart w:id="313"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Rhodophyceae (red macroalgae) represented the dominant class cover, forming extensive, continous patches colonizing almost the entire mudflat. In contrast, Bacillariophyceae (diatoms biofilm) and Chlorophyceae (Green macroalgae) exhibited more localized distributions, typically restricted to smaller, fragmented patches. A few areas covered by Phaeophyceae (brown macroalgae) were confined to small patches in the upper intertidal attached to rocks.</w:t>
      </w:r>
      <w:r>
        <w:t xml:space="preserve"> </w:t>
      </w:r>
      <w:r>
        <w:t xml:space="preserve">In the Saja esturay, Rhodophyceae cover was more sparse,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located between 1 and 2 m above mean sea level (</w:t>
      </w:r>
      <w:hyperlink w:anchor="fig-Belon">
        <w:r>
          <w:rPr>
            <w:rStyle w:val="Hyperlink"/>
          </w:rPr>
          <w:t xml:space="preserve">Figure 4.7</w:t>
        </w:r>
      </w:hyperlink>
      <w:r>
        <w:t xml:space="preserve"> </w:t>
      </w:r>
      <w:r>
        <w:t xml:space="preserve">C). The presence of red algea was strongly influenced by the elevation, with lower intertidal zones closer to the tidal channel consistently exhibiting reduced cover.</w:t>
      </w:r>
      <w:r>
        <w:t xml:space="preserve"> </w:t>
      </w:r>
      <w:r>
        <w:t xml:space="preserve">Most of the intertidal flats exibited angle below 10° (Violet, (</w:t>
      </w:r>
      <w:hyperlink w:anchor="fig-Belon">
        <w:r>
          <w:rPr>
            <w:rStyle w:val="Hyperlink"/>
          </w:rPr>
          <w:t xml:space="preserve">Figure 4.7</w:t>
        </w:r>
      </w:hyperlink>
      <w:r>
        <w:t xml:space="preserve"> </w:t>
      </w:r>
      <w:r>
        <w:t xml:space="preserve">D). Angled surfaces (10° &lt; angle &lt; 40°) often found adjacent to tidal channels, exhibited almost no vegetation cover.</w:t>
      </w:r>
    </w:p>
    <w:tbl>
      <w:tblPr>
        <w:tblStyle w:val="Table"/>
        <w:tblW w:type="pct" w:w="5000"/>
        <w:tblLayout w:type="fixed"/>
        <w:tblLook w:firstRow="0" w:lastRow="0" w:firstColumn="0" w:lastColumn="0" w:noHBand="0" w:noVBand="0" w:val="0000"/>
      </w:tblPr>
      <w:tblGrid>
        <w:gridCol w:w="7920"/>
      </w:tblGrid>
      <w:tr>
        <w:tc>
          <w:tcPr/>
          <w:bookmarkStart w:id="308" w:name="fig-Belon"/>
          <w:p>
            <w:pPr>
              <w:pStyle w:val="Compact"/>
              <w:jc w:val="center"/>
            </w:pPr>
            <w:r>
              <w:drawing>
                <wp:inline>
                  <wp:extent cx="4754880" cy="8441508"/>
                  <wp:effectExtent b="0" l="0" r="0" t="0"/>
                  <wp:docPr descr="" title="" id="306" name="Picture"/>
                  <a:graphic>
                    <a:graphicData uri="http://schemas.openxmlformats.org/drawingml/2006/picture">
                      <pic:pic>
                        <pic:nvPicPr>
                          <pic:cNvPr descr="Chapter4/Figs/Belon_maps.png" id="307" name="Picture"/>
                          <pic:cNvPicPr>
                            <a:picLocks noChangeArrowheads="1" noChangeAspect="1"/>
                          </pic:cNvPicPr>
                        </pic:nvPicPr>
                        <pic:blipFill>
                          <a:blip r:embed="rId305"/>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corrsponds to the height above mean sea level.</w:t>
            </w:r>
          </w:p>
          <w:bookmarkEnd w:id="308"/>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the slope angle, it was demonstrated that the angle influences the coverage, the percent cover of</w:t>
      </w:r>
      <w:r>
        <w:t xml:space="preserve"> </w:t>
      </w:r>
      <w:r>
        <w:rPr>
          <w:i/>
          <w:iCs/>
        </w:rPr>
        <w:t xml:space="preserve">G. vermiculophylla</w:t>
      </w:r>
      <w:r>
        <w:t xml:space="preserve"> </w:t>
      </w:r>
      <w:r>
        <w:t xml:space="preserve">increasing as angles became flatter. Specifically, for flat angles, the cover ranged from approximately 20% at the lowest elevation to nearly 38% at the highest elevation. In contrast, the increase was less pronounced for angled slopes, ranging from around 16% to 32%. The lowest cover was observed on steep angles, starting at about 15% and rising only slightly above 30% at the highest elevation (</w:t>
      </w:r>
      <w:hyperlink w:anchor="fig-Gam_Slope">
        <w:r>
          <w:rPr>
            <w:rStyle w:val="Hyperlink"/>
          </w:rPr>
          <w:t xml:space="preserve">Figure 4.8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2" w:name="fig-Gam_Slope"/>
          <w:p>
            <w:pPr>
              <w:pStyle w:val="Compact"/>
              <w:jc w:val="center"/>
            </w:pPr>
            <w:r>
              <w:drawing>
                <wp:inline>
                  <wp:extent cx="5646420" cy="2823210"/>
                  <wp:effectExtent b="0" l="0" r="0" t="0"/>
                  <wp:docPr descr="" title="" id="310" name="Picture"/>
                  <a:graphic>
                    <a:graphicData uri="http://schemas.openxmlformats.org/drawingml/2006/picture">
                      <pic:pic>
                        <pic:nvPicPr>
                          <pic:cNvPr descr="Chapter4/Figs/GAM_slope_cover.png" id="311" name="Picture"/>
                          <pic:cNvPicPr>
                            <a:picLocks noChangeArrowheads="1" noChangeAspect="1"/>
                          </pic:cNvPicPr>
                        </pic:nvPicPr>
                        <pic:blipFill>
                          <a:blip r:embed="rId309"/>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DISCOV Prediction (A), RGB composition (B) and Bathymetry (C) of the Bélon estuary site in Brttany, France. The total extent of this flight was 21 hectars with a resolution of 8 mm per pixel. Bathymetry is represented as the height above mean sea level.</w:t>
            </w:r>
          </w:p>
          <w:bookmarkEnd w:id="312"/>
        </w:tc>
      </w:tr>
    </w:tbl>
    <w:bookmarkEnd w:id="313"/>
    <w:bookmarkEnd w:id="314"/>
    <w:bookmarkStart w:id="318" w:name="discussion-2"/>
    <w:p>
      <w:pPr>
        <w:pStyle w:val="Heading2"/>
      </w:pPr>
      <w:r>
        <w:t xml:space="preserve">4.4 Discussion</w:t>
      </w:r>
    </w:p>
    <w:bookmarkStart w:id="315" w:name="X4d941f2892459fc32f0f945f785915e0b0425e7"/>
    <w:p>
      <w:pPr>
        <w:pStyle w:val="Heading3"/>
      </w:pPr>
      <w:r>
        <w:t xml:space="preserve">4.4.1 Drone mapping of</w:t>
      </w:r>
      <w:r>
        <w:t xml:space="preserve"> </w:t>
      </w:r>
      <w:r>
        <w:rPr>
          <w:i/>
          <w:iCs/>
        </w:rPr>
        <w:t xml:space="preserve">G. vermiculophylla</w:t>
      </w:r>
      <w:r>
        <w:t xml:space="preserve"> </w:t>
      </w:r>
      <w:r>
        <w:t xml:space="preserve">using machine learning approaches</w:t>
      </w:r>
    </w:p>
    <w:p>
      <w:pPr>
        <w:pStyle w:val="FirstParagraph"/>
      </w:pPr>
      <w:r>
        <w:t xml:space="preserve">In this study, we produced the first spatial distribution maps of the invasive red alga</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In French Brittany, the species formed monospecific mats, while in the spanish Cantabrian region, it was intermixed with other intertidal vegetation. Distinguishing among these vegetation types was a key prerequisite for the analysis.</w:t>
      </w:r>
    </w:p>
    <w:p>
      <w:pPr>
        <w:pStyle w:val="BodyText"/>
      </w:pPr>
      <w:r>
        <w:t xml:space="preserve">To achieve this, we developed a new version of the deep learning-based classification model DISCOV</w:t>
      </w:r>
      <w:r>
        <w:t xml:space="preserve"> </w:t>
      </w:r>
      <w:r>
        <w:t xml:space="preserve">(Oiry et al., 2024b)</w:t>
      </w:r>
      <w:r>
        <w:t xml:space="preserve">. DISCOV v2.0 was based on an improved training dataset, which included a, larger number of pixels on red algae covering approximately 26 % of one million pixels and allowed the model to achieve an accuracy of 91.1 % on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2022b; Mcilwaine et al., 2019b; O. Magalı́ Olmedo-Masat et al., 2020)</w:t>
      </w:r>
      <w:r>
        <w:t xml:space="preserve">. Even with the ten-band multispectral sensor used in our study, it remained feasible to discriminate the major classes of intertidal vegetation</w:t>
      </w:r>
      <w:r>
        <w:t xml:space="preserve"> </w:t>
      </w:r>
      <w:r>
        <w:t xml:space="preserve">(Bede Ffinian Rowe Davies et al., 2023; Oiry et al., 2024b; Román et al., 2021b)</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species level using standard multispectral sensors</w:t>
      </w:r>
      <w:r>
        <w:t xml:space="preserve"> </w:t>
      </w:r>
      <w:r>
        <w:t xml:space="preserve">(Douay et al., 2022b; O. Magalı́ Olmedo-Masat et al., 2020)</w:t>
      </w:r>
      <w:r>
        <w:t xml:space="preserve">, hyperspectral data may allow mapping on a finer taxonomic resolution.</w:t>
      </w:r>
    </w:p>
    <w:p>
      <w:pPr>
        <w:pStyle w:val="BodyText"/>
      </w:pPr>
      <w:r>
        <w:t xml:space="preserve">Ecological factors also aided in identifying</w:t>
      </w:r>
      <w:r>
        <w:t xml:space="preserve"> </w:t>
      </w:r>
      <w:r>
        <w:rPr>
          <w:i/>
          <w:iCs/>
        </w:rPr>
        <w:t xml:space="preserve">G. vermiculophylla</w:t>
      </w:r>
      <w:r>
        <w:t xml:space="preserve">. Unlike many other macroalgae that require hard substrates,</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inhabitings the upper intertidal zone—an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soft-substrate, upper intertidal habitats, our method provides a framework for identifying niche conditions that favor its spread. This information may provide managers with early-warning indicators to control its expansion before it reaches nuisance levels. Therefore, integrating spectral data with sediment characteristics serves as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modeling</w:t>
      </w:r>
      <w:r>
        <w:t xml:space="preserve"> </w:t>
      </w:r>
      <w:r>
        <w:t xml:space="preserve">(Mendoza-Segura et al., 2023)</w:t>
      </w:r>
      <w:r>
        <w:t xml:space="preserve">.</w:t>
      </w:r>
    </w:p>
    <w:p>
      <w:pPr>
        <w:pStyle w:val="BodyText"/>
      </w:pPr>
      <w:r>
        <w:t xml:space="preserve">In addition, the scalability of drone-based surveying facilitates repeat mapping to detect temporal shifts in the distribution and abundance of</w:t>
      </w:r>
      <w:r>
        <w:t xml:space="preserve"> </w:t>
      </w:r>
      <w:r>
        <w:rPr>
          <w:i/>
          <w:iCs/>
        </w:rPr>
        <w:t xml:space="preserve">G. vermiculophylla.</w:t>
      </w:r>
      <w:r>
        <w:t xml:space="preserve"> </w:t>
      </w:r>
      <w:r>
        <w:t xml:space="preserve">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bookmarkEnd w:id="315"/>
    <w:bookmarkStart w:id="316"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reveals a distinct relationship with mudflat topography, which significantly influences algal density and coverage. Our results show that higher elevations within the intertidal zone support greater densities of</w:t>
      </w:r>
      <w:r>
        <w:t xml:space="preserve"> </w:t>
      </w:r>
      <w:r>
        <w:rPr>
          <w:i/>
          <w:iCs/>
        </w:rPr>
        <w:t xml:space="preserve">G. vermiculophylla</w:t>
      </w:r>
      <w:r>
        <w:t xml:space="preserve">. A pattern that aligns with findings by</w:t>
      </w:r>
      <w:r>
        <w:t xml:space="preserve"> </w:t>
      </w:r>
      <w:r>
        <w:t xml:space="preserve">Thomsen et al. (2009)</w:t>
      </w:r>
      <w:r>
        <w:t xml:space="preserve">, where elevated areas provided optimal conditions for algal survival.</w:t>
      </w:r>
      <w:r>
        <w:t xml:space="preserve"> </w:t>
      </w:r>
      <w:r>
        <w:rPr>
          <w:i/>
          <w:iCs/>
        </w:rPr>
        <w:t xml:space="preserve">G. vermiculophylla</w:t>
      </w:r>
      <w:r>
        <w:t xml:space="preserve"> </w:t>
      </w:r>
      <w:r>
        <w:t xml:space="preserve">demonstrates remarkable physiological plasticity, enabling it to tolerate a broad spectrum of environmental conditions, including temperature fluctuations</w:t>
      </w:r>
      <w:r>
        <w:t xml:space="preserve"> </w:t>
      </w:r>
      <w:r>
        <w:t xml:space="preserve">(Sotka et al., 2018)</w:t>
      </w:r>
      <w:r>
        <w:t xml:space="preserve">, nutrient variability</w:t>
      </w:r>
      <w:r>
        <w:t xml:space="preserve"> </w:t>
      </w:r>
      <w:r>
        <w:t xml:space="preserve">(Abreu et al., 2011)</w:t>
      </w:r>
      <w:r>
        <w:t xml:space="preserve">, and a wide range of salinities</w:t>
      </w:r>
      <w:r>
        <w:t xml:space="preserve"> </w:t>
      </w:r>
      <w:r>
        <w:t xml:space="preserve">(Weinberger et al., 2008)</w:t>
      </w:r>
      <w:r>
        <w:t xml:space="preserve">. Its capacity for sustained growth under low salinity conditions</w:t>
      </w:r>
      <w:r>
        <w:t xml:space="preserve"> </w:t>
      </w:r>
      <w:r>
        <w:t xml:space="preserve">(Nyberg, 2007; Rueness, 2005)</w:t>
      </w:r>
      <w:r>
        <w:t xml:space="preserve"> </w:t>
      </w:r>
      <w:r>
        <w:t xml:space="preserve">underpins its successful establishment and persistence within polyhaline and mesohaline estuarine environments. A strong constrain, however, for the algae is the hydrodynamism. Unlike seagrasses, another type of marine plant that can also colonize soft sediment, which possess rhizomes allowing for a robust anchorage,</w:t>
      </w:r>
      <w:r>
        <w:t xml:space="preserve"> </w:t>
      </w:r>
      <w:r>
        <w:rPr>
          <w:i/>
          <w:iCs/>
        </w:rPr>
        <w:t xml:space="preserve">G. vermiculophylla</w:t>
      </w:r>
      <w:r>
        <w:t xml:space="preserve"> </w:t>
      </w:r>
      <w:r>
        <w:t xml:space="preserve">lacks such specialized structures. Its attachment to the substrate relies solely on its buried thalli, which embed into the upper layers of soft sediment. This mode of anchorage renders the alga particularly vulnerable to high hydrodynamic conditions, as it lacks the structural stability needed to withstand strong currents or wave action. To partially bury its thalli into the sediment,</w:t>
      </w:r>
      <w:r>
        <w:t xml:space="preserve"> </w:t>
      </w:r>
      <w:r>
        <w:rPr>
          <w:i/>
          <w:iCs/>
        </w:rPr>
        <w:t xml:space="preserve">G. vermiculophylla</w:t>
      </w:r>
      <w:r>
        <w:t xml:space="preserve"> </w:t>
      </w:r>
      <w:r>
        <w:t xml:space="preserve">requires areas with high sedimentation rates. These conditions are typically found in the upper regions of estuarine systems or in proximity to other macrophytes, such as</w:t>
      </w:r>
      <w:r>
        <w:t xml:space="preserve"> </w:t>
      </w:r>
      <w:r>
        <w:rPr>
          <w:i/>
          <w:iCs/>
        </w:rPr>
        <w:t xml:space="preserve">Sporobolus</w:t>
      </w:r>
      <w:r>
        <w:t xml:space="preserve"> </w:t>
      </w:r>
      <w:r>
        <w:t xml:space="preserve">spp. (commonly known as small cordgrass), which reduce current velocity and promote sediment deposition</w:t>
      </w:r>
      <w:r>
        <w:t xml:space="preserve"> </w:t>
      </w:r>
      <w:r>
        <w:t xml:space="preserve">(Mudd et al., 2010)</w:t>
      </w:r>
      <w:r>
        <w:t xml:space="preserve">. This may explain the localization of one of the first areas colonized by</w:t>
      </w:r>
      <w:r>
        <w:t xml:space="preserve"> </w:t>
      </w:r>
      <w:r>
        <w:rPr>
          <w:i/>
          <w:iCs/>
        </w:rPr>
        <w:t xml:space="preserve">G. vermiculophylla</w:t>
      </w:r>
      <w:r>
        <w:t xml:space="preserve"> </w:t>
      </w:r>
      <w:r>
        <w:t xml:space="preserve">in the Belon esturay, observed in 1982-1992 near a patch of salt marsh (</w:t>
      </w:r>
      <w:hyperlink w:anchor="fig-HistoricalMap_g">
        <w:r>
          <w:rPr>
            <w:rStyle w:val="Hyperlink"/>
          </w:rPr>
          <w:t xml:space="preserve">Figure 4.4</w:t>
        </w:r>
      </w:hyperlink>
      <w:r>
        <w:t xml:space="preserve">).</w:t>
      </w:r>
      <w:r>
        <w:t xml:space="preserve"> </w:t>
      </w:r>
      <w:r>
        <w:t xml:space="preserve">As a result,</w:t>
      </w:r>
      <w:r>
        <w:t xml:space="preserve"> </w:t>
      </w:r>
      <w:r>
        <w:rPr>
          <w:i/>
          <w:iCs/>
        </w:rPr>
        <w:t xml:space="preserve">G. vermiculophylla</w:t>
      </w:r>
      <w:r>
        <w:t xml:space="preserve"> </w:t>
      </w:r>
      <w:r>
        <w:t xml:space="preserve">compensates for its vulnerability to hydrodynamic forces by forming dense mats, which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 negative relationship between angle steepness and the density of</w:t>
      </w:r>
      <w:r>
        <w:t xml:space="preserve"> </w:t>
      </w:r>
      <w:r>
        <w:rPr>
          <w:i/>
          <w:iCs/>
        </w:rPr>
        <w:t xml:space="preserve">G. vermiculophylla</w:t>
      </w:r>
      <w:r>
        <w:t xml:space="preserve"> </w:t>
      </w:r>
      <w:r>
        <w:t xml:space="preserve">can be explained by the physical and ecological characteristics of steeper mudflat areas. Steeper angles are typically associated with higher rates of water runoff during tidal exchanges, resulting in stronger hydrodynamic forces. These forces can lead to increased sediment erosion, reduced sedimentation, and less stable substrate conditions, which are unfavorable for</w:t>
      </w:r>
      <w:r>
        <w:t xml:space="preserve"> </w:t>
      </w:r>
      <w:r>
        <w:rPr>
          <w:i/>
          <w:iCs/>
        </w:rPr>
        <w:t xml:space="preserve">G. vermiculophylla</w:t>
      </w:r>
      <w:r>
        <w:t xml:space="preserve"> </w:t>
      </w:r>
      <w:r>
        <w:t xml:space="preserve">to anchor its thalli effectively</w:t>
      </w:r>
      <w:r>
        <w:t xml:space="preserve"> </w:t>
      </w:r>
      <w:r>
        <w:t xml:space="preserve">(Besterman et al., 2021)</w:t>
      </w:r>
      <w:r>
        <w:t xml:space="preserve">. Furthermore, steeper angles may limit the retention of organic matter and nutrients, reducing the availability of essential resources needed for algal growth.</w:t>
      </w:r>
      <w:r>
        <w:t xml:space="preserve"> </w:t>
      </w:r>
      <w:r>
        <w:t xml:space="preserve">In contrast, flatter areas within the intertidal zone are more likely to accumulate fine sediments and retain water for longer periods during low tides, creating a more stable and nutrient-rich environment conducive to</w:t>
      </w:r>
      <w:r>
        <w:t xml:space="preserve"> </w:t>
      </w:r>
      <w:r>
        <w:rPr>
          <w:i/>
          <w:iCs/>
        </w:rPr>
        <w:t xml:space="preserve">G. vermiculophylla</w:t>
      </w:r>
      <w:r>
        <w:t xml:space="preserve"> </w:t>
      </w:r>
      <w:r>
        <w:t xml:space="preserve">proliferation as well reduce desiccation effects. In turn, these conditions may favor the formation of dense algal mats, which further stabilize the sediment and promote growth.</w:t>
      </w:r>
    </w:p>
    <w:bookmarkEnd w:id="316"/>
    <w:bookmarkStart w:id="317"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Bélon Estuary suggest the initial presence of this species in 1976 (</w:t>
      </w:r>
      <w:hyperlink w:anchor="fig-HistoricalMap_g">
        <w:r>
          <w:rPr>
            <w:rStyle w:val="Hyperlink"/>
          </w:rPr>
          <w:t xml:space="preserve">Figure 4.4</w:t>
        </w:r>
      </w:hyperlink>
      <w:r>
        <w:t xml:space="preserve">), preceding by two decades its first formal description in European waters in 1996</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others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the detection, monitoring, and reporting of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in 1976 coincides with the introduction of the Pacific oyster (</w:t>
      </w:r>
      <w:r>
        <w:rPr>
          <w:i/>
          <w:iCs/>
        </w:rPr>
        <w:t xml:space="preserve">Crassostrea gigas</w:t>
      </w:r>
      <w:r>
        <w:t xml:space="preserve">) into the estuary, a few years before, between 1971 and 1975, which was pointed as a potential the introduced the algae in Europe</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in the 70’s and early 80’s (</w:t>
      </w:r>
      <w:hyperlink w:anchor="fig-HistoricalMap_g">
        <w:r>
          <w:rPr>
            <w:rStyle w:val="Hyperlink"/>
          </w:rPr>
          <w:t xml:space="preserve">Figure 4.4</w:t>
        </w:r>
      </w:hyperlink>
      <w:r>
        <w:t xml:space="preserve">), the alga progressively occupied suitable habitats, consistent with theoretical invasion dynamics involving a lag phase followed by rapid spread in the 90’s</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Remote sensing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 2021a)</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Bélon Estuary,</w:t>
      </w:r>
      <w:r>
        <w:t xml:space="preserve"> </w:t>
      </w:r>
      <w:r>
        <w:rPr>
          <w:i/>
          <w:iCs/>
        </w:rPr>
        <w:t xml:space="preserve">G. vermiculophylla</w:t>
      </w:r>
      <w:r>
        <w:t xml:space="preserve"> </w:t>
      </w:r>
      <w:r>
        <w:t xml:space="preserve">appears to have thrived under ecological conditions favorable to its proliferation, enabling the formation of dense mats in about 6 years (between 1976 and 1982;</w:t>
      </w:r>
      <w:r>
        <w:t xml:space="preserve"> </w:t>
      </w:r>
      <w:hyperlink w:anchor="fig-HistoricalMap_g">
        <w:r>
          <w:rPr>
            <w:rStyle w:val="Hyperlink"/>
          </w:rPr>
          <w:t xml:space="preserve">Figure 4.4</w:t>
        </w:r>
      </w:hyperlink>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By capturing detailed data on the spatial distribution and habitat preferences of species such as</w:t>
      </w:r>
      <w:r>
        <w:t xml:space="preserve"> </w:t>
      </w:r>
      <w:r>
        <w:rPr>
          <w:i/>
          <w:iCs/>
        </w:rPr>
        <w:t xml:space="preserve">G. vermiculophylla</w:t>
      </w:r>
      <w:r>
        <w:t xml:space="preserve">, remote sensing facilitates timely interventions,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17"/>
    <w:bookmarkEnd w:id="318"/>
    <w:bookmarkStart w:id="319" w:name="conclusion-1"/>
    <w:p>
      <w:pPr>
        <w:pStyle w:val="Heading2"/>
      </w:pPr>
      <w:r>
        <w:t xml:space="preserve">4.5 Conclusion</w:t>
      </w:r>
    </w:p>
    <w:p>
      <w:pPr>
        <w:pStyle w:val="FirstParagraph"/>
      </w:pPr>
      <w:r>
        <w:t xml:space="preserve">In this study, we demonstrated the potential of high-resolution drone-based multispectral remote sensing to map the spatial and temporal distribution of the invasive red macroalga</w:t>
      </w:r>
      <w:r>
        <w:t xml:space="preserve"> </w:t>
      </w:r>
      <w:r>
        <w:rPr>
          <w:i/>
          <w:iCs/>
        </w:rPr>
        <w:t xml:space="preserve">G. vermiculophylla</w:t>
      </w:r>
      <w:r>
        <w:t xml:space="preserve"> </w:t>
      </w:r>
      <w:r>
        <w:t xml:space="preserve">in European estuaries. By releasing the DISCOV v2.0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remarkable physiological plasticity of</w:t>
      </w:r>
      <w:r>
        <w:t xml:space="preserve"> </w:t>
      </w:r>
      <w:r>
        <w:rPr>
          <w:i/>
          <w:iCs/>
        </w:rPr>
        <w:t xml:space="preserve">G. vermiculophylla</w:t>
      </w:r>
      <w:r>
        <w:t xml:space="preserve"> </w:t>
      </w:r>
      <w:r>
        <w:t xml:space="preserve">enabling ot to thrive in diverse environmental conditions, further underscores its adaptability and invasive potential. However, its reliance on sediment stability and vulnerability to hydrodynamic forces delineate its prefered habitat with the intertidal zones.</w:t>
      </w:r>
    </w:p>
    <w:p>
      <w:pPr>
        <w:pStyle w:val="BodyText"/>
      </w:pPr>
      <w:r>
        <w:t xml:space="preserve">The temporal progression, derived from a historical dataset spanning over seven decades, highlights the progressive establishment and expansion of the algae. Notably, our aerial imagery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w:t>
      </w:r>
    </w:p>
    <w:p>
      <w:pPr>
        <w:pStyle w:val="BodyText"/>
      </w:pPr>
      <w:r>
        <w:t xml:space="preserve">This historical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oyster aquaculture, suggesting a potential link between human activities and the proliferation of this invasive species.</w:t>
      </w:r>
      <w:r>
        <w:t xml:space="preserve"> </w:t>
      </w:r>
      <w:r>
        <w:t xml:space="preserve">These findings underscore the crucial role of remote sensing in ecological research, particularly in studying invasive species. By leveraging high-resolution, scalable technologies, we can not only map current distributions but also uncover historical patterns that would otherwise remain unknown. The identification of</w:t>
      </w:r>
      <w:r>
        <w:t xml:space="preserve"> </w:t>
      </w:r>
      <w:r>
        <w:rPr>
          <w:i/>
          <w:iCs/>
        </w:rPr>
        <w:t xml:space="preserve">G. vermiculophylla</w:t>
      </w:r>
      <w:r>
        <w:t xml:space="preserve"> </w:t>
      </w:r>
      <w:r>
        <w:t xml:space="preserve">decades prior to its formal description exemplifies this capability. This discovery provides a compelling basis for re-evaluating historical data to understand the broader implications of invasive species dynamics. Moving forward, integrating hyperspectral sensors could enhance species-level discrimination, while adopting low-cost RGB-based methods could extend monitoring capacities to a broader range of stakeholders. Incorporating these advancements into environmental management frameworks can enable proactive monitoring, timely interventions, and habitat restoration efforts. These advancements will be crucial for informing management strategies, fostering community engagement, and preserving estuarine biodiversity in the face of ongoing ecological changes.</w:t>
      </w:r>
    </w:p>
    <w:p>
      <w:r>
        <w:br w:type="page"/>
      </w:r>
    </w:p>
    <w:bookmarkEnd w:id="319"/>
    <w:bookmarkStart w:id="336" w:name="annexes"/>
    <w:p>
      <w:pPr>
        <w:pStyle w:val="Heading2"/>
      </w:pPr>
      <w:r>
        <w:t xml:space="preserve">4.6 Annexes</w:t>
      </w:r>
    </w:p>
    <w:bookmarkStart w:id="324" w:name="sec-AnnexeA"/>
    <w:p>
      <w:pPr>
        <w:pStyle w:val="Heading3"/>
      </w:pPr>
      <w:r>
        <w:t xml:space="preserve">4.6.1 Annexes A - Updated training dataset</w:t>
      </w:r>
    </w:p>
    <w:tbl>
      <w:tblPr>
        <w:tblStyle w:val="Table"/>
        <w:tblW w:type="pct" w:w="5000"/>
        <w:tblLayout w:type="fixed"/>
        <w:tblLook w:firstRow="0" w:lastRow="0" w:firstColumn="0" w:lastColumn="0" w:noHBand="0" w:noVBand="0" w:val="0000"/>
      </w:tblPr>
      <w:tblGrid>
        <w:gridCol w:w="7920"/>
      </w:tblGrid>
      <w:tr>
        <w:tc>
          <w:tcPr/>
          <w:bookmarkStart w:id="323" w:name="tbl-Update_training"/>
          <w:p>
            <w:pPr>
              <w:jc w:val="center"/>
            </w:pPr>
            <w:pPr>
              <w:jc w:val="start"/>
              <w:spacing w:before="200"/>
              <w:pStyle w:val="ImageCaption"/>
            </w:pPr>
            <w:r>
              <w:t xml:space="preserve">Table 4.1: Class of the Neural Network model, with the number of training pixels used to train that class and the differences with the training dataset of DISCOV v1.0</w:t>
            </w:r>
          </w:p>
          <w:p>
            <w:pPr>
              <w:jc w:val="center"/>
            </w:pPr>
            <w:r>
              <w:drawing>
                <wp:inline>
                  <wp:extent cx="2971800" cy="2294869"/>
                  <wp:effectExtent b="0" l="0" r="0" t="0"/>
                  <wp:docPr descr="" title="" id="321" name="Picture"/>
                  <a:graphic>
                    <a:graphicData uri="http://schemas.openxmlformats.org/drawingml/2006/picture">
                      <pic:pic>
                        <pic:nvPicPr>
                          <pic:cNvPr descr="Chapter4/Figs/AnnexeA.png" id="322" name="Picture"/>
                          <pic:cNvPicPr>
                            <a:picLocks noChangeArrowheads="1" noChangeAspect="1"/>
                          </pic:cNvPicPr>
                        </pic:nvPicPr>
                        <pic:blipFill>
                          <a:blip r:embed="rId320"/>
                          <a:stretch>
                            <a:fillRect/>
                          </a:stretch>
                        </pic:blipFill>
                        <pic:spPr bwMode="auto">
                          <a:xfrm>
                            <a:off x="0" y="0"/>
                            <a:ext cx="2971800" cy="2294869"/>
                          </a:xfrm>
                          <a:prstGeom prst="rect">
                            <a:avLst/>
                          </a:prstGeom>
                          <a:noFill/>
                          <a:ln w="9525">
                            <a:noFill/>
                            <a:headEnd/>
                            <a:tailEnd/>
                          </a:ln>
                        </pic:spPr>
                      </pic:pic>
                    </a:graphicData>
                  </a:graphic>
                </wp:inline>
              </w:drawing>
            </w:r>
          </w:p>
          <w:bookmarkEnd w:id="323"/>
        </w:tc>
      </w:tr>
    </w:tbl>
    <w:p>
      <w:r>
        <w:br w:type="page"/>
      </w:r>
    </w:p>
    <w:bookmarkEnd w:id="324"/>
    <w:bookmarkStart w:id="328" w:name="sec-AnnexeB"/>
    <w:p>
      <w:pPr>
        <w:pStyle w:val="Heading3"/>
      </w:pPr>
      <w:r>
        <w:t xml:space="preserve">4.6.2 Annexes B - Validation dataset</w:t>
      </w:r>
    </w:p>
    <w:tbl>
      <w:tblPr>
        <w:tblStyle w:val="Table"/>
        <w:tblW w:type="pct" w:w="5000"/>
        <w:tblLayout w:type="fixed"/>
        <w:tblLook w:firstRow="0" w:lastRow="0" w:firstColumn="0" w:lastColumn="0" w:noHBand="0" w:noVBand="0" w:val="0000"/>
      </w:tblPr>
      <w:tblGrid>
        <w:gridCol w:w="7920"/>
      </w:tblGrid>
      <w:tr>
        <w:tc>
          <w:tcPr/>
          <w:bookmarkStart w:id="327" w:name="tbl-ValidationDataset"/>
          <w:p>
            <w:pPr>
              <w:jc w:val="center"/>
            </w:pPr>
            <w:pPr>
              <w:jc w:val="start"/>
              <w:spacing w:before="200"/>
              <w:pStyle w:val="ImageCaption"/>
            </w:pPr>
            <w:r>
              <w:t xml:space="preserve">Table 4.2: Presence and absence of red macroalgae for each drone flight</w:t>
            </w:r>
          </w:p>
          <w:p>
            <w:pPr>
              <w:jc w:val="center"/>
            </w:pPr>
            <w:r>
              <w:drawing>
                <wp:inline>
                  <wp:extent cx="3671384" cy="2835099"/>
                  <wp:effectExtent b="0" l="0" r="0" t="0"/>
                  <wp:docPr descr="" title="" id="325" name="Picture"/>
                  <a:graphic>
                    <a:graphicData uri="http://schemas.openxmlformats.org/drawingml/2006/picture">
                      <pic:pic>
                        <pic:nvPicPr>
                          <pic:cNvPr descr="Chapter4/Figs/AnnexeA.png" id="326" name="Picture"/>
                          <pic:cNvPicPr>
                            <a:picLocks noChangeArrowheads="1" noChangeAspect="1"/>
                          </pic:cNvPicPr>
                        </pic:nvPicPr>
                        <pic:blipFill>
                          <a:blip r:embed="rId320"/>
                          <a:stretch>
                            <a:fillRect/>
                          </a:stretch>
                        </pic:blipFill>
                        <pic:spPr bwMode="auto">
                          <a:xfrm>
                            <a:off x="0" y="0"/>
                            <a:ext cx="3671384" cy="2835099"/>
                          </a:xfrm>
                          <a:prstGeom prst="rect">
                            <a:avLst/>
                          </a:prstGeom>
                          <a:noFill/>
                          <a:ln w="9525">
                            <a:noFill/>
                            <a:headEnd/>
                            <a:tailEnd/>
                          </a:ln>
                        </pic:spPr>
                      </pic:pic>
                    </a:graphicData>
                  </a:graphic>
                </wp:inline>
              </w:drawing>
            </w:r>
          </w:p>
          <w:bookmarkEnd w:id="327"/>
        </w:tc>
      </w:tr>
    </w:tbl>
    <w:p>
      <w:r>
        <w:br w:type="page"/>
      </w:r>
    </w:p>
    <w:bookmarkEnd w:id="328"/>
    <w:bookmarkStart w:id="330"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29" w:name="tbl-IGNimg"/>
          <w:p>
            <w:pPr>
              <w:jc w:val="center"/>
            </w:pPr>
            <w:pPr>
              <w:jc w:val="start"/>
              <w:spacing w:before="200"/>
              <w:pStyle w:val="ImageCaption"/>
            </w:pPr>
            <w:r>
              <w:t xml:space="preserve">Table 4.3: Images used to assess the historical presence of Gracilaria vermiculophylla in the Belon esturay. Images from the IGN data source have been retrieved from the</w:t>
            </w:r>
            <w:r>
              <w:t xml:space="preserve"> </w:t>
            </w:r>
            <w:r>
              <w:t xml:space="preserve">“Remonter Le Temps”</w:t>
            </w:r>
            <w:r>
              <w:t xml:space="preserve"> </w:t>
            </w:r>
            <w:r>
              <w:t xml:space="preserve">plateform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29"/>
        </w:tc>
      </w:tr>
    </w:tbl>
    <w:p>
      <w:r>
        <w:br w:type="page"/>
      </w:r>
    </w:p>
    <w:bookmarkEnd w:id="330"/>
    <w:bookmarkStart w:id="335" w:name="sec-AnnexeD"/>
    <w:p>
      <w:pPr>
        <w:pStyle w:val="Heading3"/>
      </w:pPr>
      <w:r>
        <w:t xml:space="preserve">4.6.4 Annexes D - Maps of the Saja esturay, Spain</w:t>
      </w:r>
    </w:p>
    <w:tbl>
      <w:tblPr>
        <w:tblStyle w:val="Table"/>
        <w:tblW w:type="pct" w:w="5000"/>
        <w:tblLayout w:type="fixed"/>
        <w:tblLook w:firstRow="0" w:lastRow="0" w:firstColumn="0" w:lastColumn="0" w:noHBand="0" w:noVBand="0" w:val="0000"/>
      </w:tblPr>
      <w:tblGrid>
        <w:gridCol w:w="7920"/>
      </w:tblGrid>
      <w:tr>
        <w:tc>
          <w:tcPr/>
          <w:bookmarkStart w:id="334" w:name="fig-Saja_g"/>
          <w:p>
            <w:pPr>
              <w:pStyle w:val="Compact"/>
              <w:jc w:val="center"/>
            </w:pPr>
            <w:r>
              <w:drawing>
                <wp:inline>
                  <wp:extent cx="5646420" cy="3861605"/>
                  <wp:effectExtent b="0" l="0" r="0" t="0"/>
                  <wp:docPr descr="" title="" id="332" name="Picture"/>
                  <a:graphic>
                    <a:graphicData uri="http://schemas.openxmlformats.org/drawingml/2006/picture">
                      <pic:pic>
                        <pic:nvPicPr>
                          <pic:cNvPr descr="Chapter4/Figs/Saja_maps.png" id="333" name="Picture"/>
                          <pic:cNvPicPr>
                            <a:picLocks noChangeArrowheads="1" noChangeAspect="1"/>
                          </pic:cNvPicPr>
                        </pic:nvPicPr>
                        <pic:blipFill>
                          <a:blip r:embed="rId331"/>
                          <a:stretch>
                            <a:fillRect/>
                          </a:stretch>
                        </pic:blipFill>
                        <pic:spPr bwMode="auto">
                          <a:xfrm>
                            <a:off x="0" y="0"/>
                            <a:ext cx="5646420" cy="386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DISCOV Prediction (A), RGB composition (B) and picture of the field campaign of the Saja esturay, Nothern Spain. The total extent of this flight was 20.4 hectars with a resolution of 8 mm per pixel.</w:t>
            </w:r>
          </w:p>
          <w:bookmarkEnd w:id="334"/>
        </w:tc>
      </w:tr>
    </w:tbl>
    <w:bookmarkEnd w:id="335"/>
    <w:bookmarkEnd w:id="336"/>
    <w:bookmarkEnd w:id="337"/>
    <w:bookmarkStart w:id="338" w:name="X85d6749c3e84fb15fd0eda2e8ccb482f83ccf4f"/>
    <w:p>
      <w:pPr>
        <w:pStyle w:val="Heading1"/>
      </w:pPr>
      <w:r>
        <w:t xml:space="preserve">5. Impact of Marine and Atmospheric Heatwaves on Intertidal Seagrass: Experimental Spectroradiometry and Satellite-Based Insights</w:t>
      </w:r>
    </w:p>
    <w:bookmarkEnd w:id="338"/>
    <w:bookmarkStart w:id="340"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remote sensing for mapping intertidal habitats, (2) develop advanced methodologies for accurate vegetation classification and ecosystem monitoring, and (3) to investigate the capacity of remote sensing to mmap ecosystem under biotic and abiotic pressures. This concluding section reviews the key scientific advancements made through the application of remote sensing to intertidal ecosystems, the challenges encountered, and future research directions.</w:t>
      </w:r>
    </w:p>
    <w:bookmarkStart w:id="339" w:name="Xf6a6e7c7fc785cb3c82cd13fee991920af68fae"/>
    <w:p>
      <w:pPr>
        <w:pStyle w:val="Heading2"/>
      </w:pPr>
      <w:r>
        <w:t xml:space="preserve">6.1 Macrophytes discriminations and associated challenges.</w:t>
      </w:r>
    </w:p>
    <w:p>
      <w:pPr>
        <w:pStyle w:val="FirstParagraph"/>
      </w:pPr>
      <w:r>
        <w:t xml:space="preserve">This work has demonstrated the capability of multispectral remote sensing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w:t>
      </w:r>
      <w:r>
        <w:t xml:space="preserve"> </w:t>
      </w:r>
      <w:r>
        <w:rPr>
          <w:i/>
          <w:iCs/>
        </w:rPr>
        <w:t xml:space="preserve">in situ</w:t>
      </w:r>
      <w:r>
        <w:t xml:space="preserve"> </w:t>
      </w:r>
      <w:r>
        <w:t xml:space="preserve">using a multispectral camera mounted on a drone. The distinction was particularly challenging between green macrophytes, such as seagrass and green macroalgae, which share similar pigment compositions and, consequently, spectral signatures. However, the slight variations in the spectral signatures of intertidal green macrophytes enabling this discrimination arise from differences in the ratios of pigment concentrations within the leaves and thallus of these plants, rather than shared pigment compositions.</w:t>
      </w:r>
    </w:p>
    <w:p>
      <w:pPr>
        <w:pStyle w:val="BodyText"/>
      </w:pPr>
      <w:r>
        <w:t xml:space="preserve">Pigment concentrations are not static over time and may not be uniform within a species, which raises questions about the reliability of the method developed here. Despite this limitation, a key strength of the method lies in its open-source and use-case-driven design. The Drone Intertidal Sediment Classification of Vegetation (DISCOV) algorithm was developed to be dynamic and adaptable over time. The algorithm has been detailed in a scientific journal, with its complete code and training/validation dataset shared openly on GitHub</w:t>
      </w:r>
      <w:r>
        <w:t xml:space="preserve"> </w:t>
      </w:r>
      <w:r>
        <w:t xml:space="preserve">(Oiry et al., 2024a)</w:t>
      </w:r>
      <w:r>
        <w:t xml:space="preserve">. This flexibility proved invaluable when applying the algorithm to a different use case: mapping the invasive</w:t>
      </w:r>
      <w:r>
        <w:t xml:space="preserve"> </w:t>
      </w:r>
      <w:r>
        <w:rPr>
          <w:i/>
          <w:iCs/>
        </w:rPr>
        <w:t xml:space="preserve">Gracilaria vermiculophylla</w:t>
      </w:r>
      <w:r>
        <w:t xml:space="preserve">.</w:t>
      </w:r>
      <w:r>
        <w:t xml:space="preserve"> </w:t>
      </w:r>
      <w:r>
        <w:t xml:space="preserve">Interestingly, DISCOV v1.0 exhibited poor performance in identifying this algae species, despite its distinct and unique spectral signature attributed to the presence of phycocyanin and phycoerythrin. The algorithm’s underperformance was traced to the lack of red algae training data in the original dataset, causing uncertainty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The inclusion of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p>
      <w:pPr>
        <w:pStyle w:val="BodyText"/>
      </w:pPr>
      <w:r>
        <w:t xml:space="preserve">This</w:t>
      </w:r>
    </w:p>
    <w:bookmarkEnd w:id="339"/>
    <w:bookmarkEnd w:id="340"/>
    <w:bookmarkStart w:id="736" w:name="references"/>
    <w:p>
      <w:pPr>
        <w:pStyle w:val="Heading1"/>
      </w:pPr>
      <w:r>
        <w:t xml:space="preserve">References</w:t>
      </w:r>
    </w:p>
    <w:bookmarkStart w:id="735" w:name="refs"/>
    <w:bookmarkStart w:id="341"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341"/>
    <w:bookmarkStart w:id="342" w:name="ref-adade2021"/>
    <w:p>
      <w:pPr>
        <w:pStyle w:val="Bibliography"/>
      </w:pPr>
      <w:r>
        <w:t xml:space="preserve">Adade, R., Aibinu, A.M., Ekumah, B., Asaana, J., 2021. Unmanned aerial vehicle (UAV) applications in coastal zone management—a review. Environmental Monitoring and Assessment 193, 1–12.</w:t>
      </w:r>
    </w:p>
    <w:bookmarkEnd w:id="342"/>
    <w:bookmarkStart w:id="344" w:name="ref-agisoft"/>
    <w:p>
      <w:pPr>
        <w:pStyle w:val="Bibliography"/>
      </w:pPr>
      <w:r>
        <w:t xml:space="preserve">Agisoft, 2019.</w:t>
      </w:r>
      <w:r>
        <w:t xml:space="preserve"> </w:t>
      </w:r>
      <w:hyperlink r:id="rId343">
        <w:r>
          <w:rPr>
            <w:rStyle w:val="Hyperlink"/>
          </w:rPr>
          <w:t xml:space="preserve">Agisoft metashape</w:t>
        </w:r>
      </w:hyperlink>
      <w:r>
        <w:t xml:space="preserve">.</w:t>
      </w:r>
    </w:p>
    <w:bookmarkEnd w:id="344"/>
    <w:bookmarkStart w:id="345"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345"/>
    <w:bookmarkStart w:id="346" w:name="ref-arim2006spread"/>
    <w:p>
      <w:pPr>
        <w:pStyle w:val="Bibliography"/>
      </w:pPr>
      <w:r>
        <w:t xml:space="preserve">Arim, M., Abades, S.R., Neill, P.E., Lima, M., Marquet, P.A., 2006. Spread dynamics of invasive species. Proceedings of the National Academy of Sciences 103, 374–378.</w:t>
      </w:r>
    </w:p>
    <w:bookmarkEnd w:id="346"/>
    <w:bookmarkStart w:id="347"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347"/>
    <w:bookmarkStart w:id="349" w:name="ref-ASI2020"/>
    <w:p>
      <w:pPr>
        <w:pStyle w:val="Bibliography"/>
      </w:pPr>
      <w:r>
        <w:t xml:space="preserve">ASI, 2020.</w:t>
      </w:r>
      <w:r>
        <w:t xml:space="preserve"> </w:t>
      </w:r>
      <w:hyperlink r:id="rId348">
        <w:r>
          <w:rPr>
            <w:rStyle w:val="Hyperlink"/>
          </w:rPr>
          <w:t xml:space="preserve">PRISMA products specification document issue 2.3 date 12/03/2020</w:t>
        </w:r>
      </w:hyperlink>
      <w:r>
        <w:t xml:space="preserve">.</w:t>
      </w:r>
    </w:p>
    <w:bookmarkEnd w:id="349"/>
    <w:bookmarkStart w:id="350"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350"/>
    <w:bookmarkStart w:id="351"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351"/>
    <w:bookmarkStart w:id="352" w:name="ref-Bargain2012"/>
    <w:p>
      <w:pPr>
        <w:pStyle w:val="Bibliography"/>
      </w:pPr>
      <w:r>
        <w:t xml:space="preserve">Bargain, A., Robin, M., Le Men, E., Huete, A., Barillé, L., 2012. Spectral response of the seagrass zostera noltii with different sediment backgrounds. Aquatic Botany 98, 45–56.</w:t>
      </w:r>
    </w:p>
    <w:bookmarkEnd w:id="352"/>
    <w:bookmarkStart w:id="354" w:name="ref-Bargain2013"/>
    <w:p>
      <w:pPr>
        <w:pStyle w:val="Bibliography"/>
      </w:pPr>
      <w:r>
        <w:t xml:space="preserve">Bargain, A., Robin, M., Méléder, V., Rosa, P., Le Menn, E., Harin, N., Barillé, L., 2013b.</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353">
        <w:r>
          <w:rPr>
            <w:rStyle w:val="Hyperlink"/>
          </w:rPr>
          <w:t xml:space="preserve">https://doi.org/10.1016/j.jembe.2013.04.012</w:t>
        </w:r>
      </w:hyperlink>
    </w:p>
    <w:bookmarkEnd w:id="354"/>
    <w:bookmarkStart w:id="355" w:name="ref-bargain2013seasonal"/>
    <w:p>
      <w:pPr>
        <w:pStyle w:val="Bibliography"/>
      </w:pPr>
      <w:r>
        <w:t xml:space="preserve">Bargain, A., Robin, M., Méléder, V., Rosa, P., Le Menn, E., Harin, N., Barillé, L., 2013a. Seasonal spectral variation of zostera noltii and its influence on pigment-based vegetation indices. Journal of experimental marine biology and ecology 446, 86–94.</w:t>
      </w:r>
    </w:p>
    <w:bookmarkEnd w:id="355"/>
    <w:bookmarkStart w:id="357"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356">
        <w:r>
          <w:rPr>
            <w:rStyle w:val="Hyperlink"/>
          </w:rPr>
          <w:t xml:space="preserve">https://doi.org/10.1016/j.rse.2010.12.008</w:t>
        </w:r>
      </w:hyperlink>
    </w:p>
    <w:bookmarkEnd w:id="357"/>
    <w:bookmarkStart w:id="359"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358">
        <w:r>
          <w:rPr>
            <w:rStyle w:val="Hyperlink"/>
          </w:rPr>
          <w:t xml:space="preserve">https://doi.org/10.1016/j.aquabot.2009.11.006</w:t>
        </w:r>
      </w:hyperlink>
    </w:p>
    <w:bookmarkEnd w:id="359"/>
    <w:bookmarkStart w:id="360" w:name="ref-beach1997vivo"/>
    <w:p>
      <w:pPr>
        <w:pStyle w:val="Bibliography"/>
      </w:pPr>
      <w:r>
        <w:t xml:space="preserve">Beach, K., Borgeas, H., Nishimura, N., Smith, C., 1997. In vivo absorbance spectra and the ecophysiology of reef macroalgae. Coral Reefs 16, 21–28.</w:t>
      </w:r>
    </w:p>
    <w:bookmarkEnd w:id="360"/>
    <w:bookmarkStart w:id="362" w:name="ref-Beach1997"/>
    <w:p>
      <w:pPr>
        <w:pStyle w:val="Bibliography"/>
      </w:pPr>
      <w:r>
        <w:t xml:space="preserve">Beach, K.S., Borgeas, H.B., Nishimura, N.J., Smith, C.M., 1997.</w:t>
      </w:r>
      <w:r>
        <w:t xml:space="preserve"> </w:t>
      </w:r>
      <w:r>
        <w:t xml:space="preserve">In vivo absorbance spectra and the ecophysiology of reef macroalgae</w:t>
      </w:r>
      <w:r>
        <w:t xml:space="preserve">. Coral Reefs 16, 21–28.</w:t>
      </w:r>
      <w:r>
        <w:t xml:space="preserve"> </w:t>
      </w:r>
      <w:hyperlink r:id="rId361">
        <w:r>
          <w:rPr>
            <w:rStyle w:val="Hyperlink"/>
          </w:rPr>
          <w:t xml:space="preserve">https://doi.org/10.1007/s003380050055</w:t>
        </w:r>
      </w:hyperlink>
    </w:p>
    <w:bookmarkEnd w:id="362"/>
    <w:bookmarkStart w:id="364"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363">
        <w:r>
          <w:rPr>
            <w:rStyle w:val="Hyperlink"/>
          </w:rPr>
          <w:t xml:space="preserve">https://doi.org/10.1007/s12237-021-00949-8</w:t>
        </w:r>
      </w:hyperlink>
    </w:p>
    <w:bookmarkEnd w:id="364"/>
    <w:bookmarkStart w:id="365" w:name="ref-bendor2006spatial"/>
    <w:p>
      <w:pPr>
        <w:pStyle w:val="Bibliography"/>
      </w:pPr>
      <w:r>
        <w:t xml:space="preserve">BenDor, T.K., Metcalf, S.S., 2006. The spatial dynamics of invasive species spread. System Dynamics Review: The Journal of the System Dynamics Society 22, 27–50.</w:t>
      </w:r>
    </w:p>
    <w:bookmarkEnd w:id="365"/>
    <w:bookmarkStart w:id="366"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366"/>
    <w:bookmarkStart w:id="367"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367"/>
    <w:bookmarkStart w:id="369"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368">
        <w:r>
          <w:rPr>
            <w:rStyle w:val="Hyperlink"/>
          </w:rPr>
          <w:t xml:space="preserve">https://doi.org/10.1016/j.seares.2014.02.014</w:t>
        </w:r>
      </w:hyperlink>
    </w:p>
    <w:bookmarkEnd w:id="369"/>
    <w:bookmarkStart w:id="370" w:name="ref-blum2009drowning"/>
    <w:p>
      <w:pPr>
        <w:pStyle w:val="Bibliography"/>
      </w:pPr>
      <w:r>
        <w:t xml:space="preserve">Blum, M.D., Roberts, H.H., 2009. Drowning of the mississippi delta due to insufficient sediment supply and global sea-level rise. Nature geoscience 2, 488–491.</w:t>
      </w:r>
    </w:p>
    <w:bookmarkEnd w:id="370"/>
    <w:bookmarkStart w:id="371"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371"/>
    <w:bookmarkStart w:id="372"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372"/>
    <w:bookmarkStart w:id="374" w:name="ref-Brondizio2019"/>
    <w:p>
      <w:pPr>
        <w:pStyle w:val="Bibliography"/>
      </w:pPr>
      <w:r>
        <w:t xml:space="preserve">Brondízio, E.S., Settele, J., Díaz, S., Ngo, H.T.(eds)., 2019.</w:t>
      </w:r>
      <w:r>
        <w:t xml:space="preserve"> </w:t>
      </w:r>
      <w:hyperlink r:id="rId373">
        <w:r>
          <w:rPr>
            <w:rStyle w:val="Hyperlink"/>
          </w:rPr>
          <w:t xml:space="preserve">IPBES (2019), Global assessment report of the Intergovernmental Science-Policy Platform on Biodiversity and Ecosystem Services</w:t>
        </w:r>
      </w:hyperlink>
      <w:r>
        <w:t xml:space="preserve">.</w:t>
      </w:r>
    </w:p>
    <w:bookmarkEnd w:id="374"/>
    <w:bookmarkStart w:id="376"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375">
        <w:r>
          <w:rPr>
            <w:rStyle w:val="Hyperlink"/>
          </w:rPr>
          <w:t xml:space="preserve">https://doi.org/10.3390/RS14020307</w:t>
        </w:r>
      </w:hyperlink>
    </w:p>
    <w:bookmarkEnd w:id="376"/>
    <w:bookmarkStart w:id="377"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377"/>
    <w:bookmarkStart w:id="378"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378"/>
    <w:bookmarkStart w:id="380"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379">
        <w:r>
          <w:rPr>
            <w:rStyle w:val="Hyperlink"/>
          </w:rPr>
          <w:t xml:space="preserve">https://doi.org/10.18637/jss.v100.i05</w:t>
        </w:r>
      </w:hyperlink>
    </w:p>
    <w:bookmarkEnd w:id="380"/>
    <w:bookmarkStart w:id="382"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381">
        <w:r>
          <w:rPr>
            <w:rStyle w:val="Hyperlink"/>
          </w:rPr>
          <w:t xml:space="preserve">https://doi.org/10.32614/RJ-2018-017</w:t>
        </w:r>
      </w:hyperlink>
    </w:p>
    <w:bookmarkEnd w:id="382"/>
    <w:bookmarkStart w:id="384"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383">
        <w:r>
          <w:rPr>
            <w:rStyle w:val="Hyperlink"/>
          </w:rPr>
          <w:t xml:space="preserve">https://doi.org/10.18637/jss.v080.i01</w:t>
        </w:r>
      </w:hyperlink>
    </w:p>
    <w:bookmarkEnd w:id="384"/>
    <w:bookmarkStart w:id="385"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385"/>
    <w:bookmarkStart w:id="387" w:name="ref-Cao2017"/>
    <w:p>
      <w:pPr>
        <w:pStyle w:val="Bibliography"/>
      </w:pPr>
      <w:r>
        <w:t xml:space="preserve">Cao, J., Thorson, J.T., Richards, R.A., Chen, Y., 2017. Spatiotemporal index standardization improves the stock assessment of northern shrimp in the gulf of maine. Canadian Journal of Fisheries and Aquatic Sciences 74, 1781–1793.</w:t>
      </w:r>
      <w:r>
        <w:t xml:space="preserve"> </w:t>
      </w:r>
      <w:hyperlink r:id="rId386">
        <w:r>
          <w:rPr>
            <w:rStyle w:val="Hyperlink"/>
          </w:rPr>
          <w:t xml:space="preserve">https://doi.org/10.1139/cjfas-2016-0137</w:t>
        </w:r>
      </w:hyperlink>
    </w:p>
    <w:bookmarkEnd w:id="387"/>
    <w:bookmarkStart w:id="388"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388"/>
    <w:bookmarkStart w:id="389"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389"/>
    <w:bookmarkStart w:id="391"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390">
        <w:r>
          <w:rPr>
            <w:rStyle w:val="Hyperlink"/>
          </w:rPr>
          <w:t xml:space="preserve">https://doi.org/10.1016/j.csr.2013.01.010</w:t>
        </w:r>
      </w:hyperlink>
    </w:p>
    <w:bookmarkEnd w:id="391"/>
    <w:bookmarkStart w:id="393"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392">
        <w:r>
          <w:rPr>
            <w:rStyle w:val="Hyperlink"/>
          </w:rPr>
          <w:t xml:space="preserve">https://doi.org/10.1007/s00227-012-1987-5</w:t>
        </w:r>
      </w:hyperlink>
    </w:p>
    <w:bookmarkEnd w:id="393"/>
    <w:bookmarkStart w:id="394" w:name="ref-casella2020"/>
    <w:p>
      <w:pPr>
        <w:pStyle w:val="Bibliography"/>
      </w:pPr>
      <w:r>
        <w:t xml:space="preserve">Casella, E., Drechsel, J., Winter, C., Benninghoff, M., Rovere, A., 2020. Accuracy of sand beach topography surveying by drones and photogrammetry. Geo-Marine Letters 40, 255–268.</w:t>
      </w:r>
    </w:p>
    <w:bookmarkEnd w:id="394"/>
    <w:bookmarkStart w:id="396" w:name="ref-Castaing1995"/>
    <w:p>
      <w:pPr>
        <w:pStyle w:val="Bibliography"/>
      </w:pPr>
      <w:r>
        <w:t xml:space="preserve">Castaing, P., Guilcher, A., 1995. Morphosedimentary evolution of ria-type estuaries. Earth Surface Processes and Landforms 20, 361–376.</w:t>
      </w:r>
      <w:r>
        <w:t xml:space="preserve"> </w:t>
      </w:r>
      <w:hyperlink r:id="rId395">
        <w:r>
          <w:rPr>
            <w:rStyle w:val="Hyperlink"/>
          </w:rPr>
          <w:t xml:space="preserve">https://doi.org/10.1002/esp.3290200408</w:t>
        </w:r>
      </w:hyperlink>
    </w:p>
    <w:bookmarkEnd w:id="396"/>
    <w:bookmarkStart w:id="397"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397"/>
    <w:bookmarkStart w:id="398"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398"/>
    <w:bookmarkStart w:id="400" w:name="ref-shinypck"/>
    <w:p>
      <w:pPr>
        <w:pStyle w:val="Bibliography"/>
      </w:pPr>
      <w:r>
        <w:t xml:space="preserve">Chang, W., Cheng, J., Allaire, J., Sievert, C., Schloerke, B., Xie, Y., Allen, J., McPherson, J., Dipert, A., Borges, B., 2024.</w:t>
      </w:r>
      <w:r>
        <w:t xml:space="preserve"> </w:t>
      </w:r>
      <w:hyperlink r:id="rId399">
        <w:r>
          <w:rPr>
            <w:rStyle w:val="Hyperlink"/>
          </w:rPr>
          <w:t xml:space="preserve">Shiny: Web application framework for r</w:t>
        </w:r>
      </w:hyperlink>
      <w:r>
        <w:t xml:space="preserve">.</w:t>
      </w:r>
    </w:p>
    <w:bookmarkEnd w:id="400"/>
    <w:bookmarkStart w:id="402"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401">
        <w:r>
          <w:rPr>
            <w:rStyle w:val="Hyperlink"/>
          </w:rPr>
          <w:t xml:space="preserve">https://doi.org/10.1016/j.algal.2017.04.021</w:t>
        </w:r>
      </w:hyperlink>
    </w:p>
    <w:bookmarkEnd w:id="402"/>
    <w:bookmarkStart w:id="403"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403"/>
    <w:bookmarkStart w:id="404" w:name="ref-chefaoui2018dramatic"/>
    <w:p>
      <w:pPr>
        <w:pStyle w:val="Bibliography"/>
      </w:pPr>
      <w:r>
        <w:t xml:space="preserve">Chefaoui, R.M., Duarte, C.M., Serrão, E.A., 2018. Dramatic loss of seagrass habitat under projected climate change in the mediterranean sea. Global change biology 24, 4919–4928.</w:t>
      </w:r>
    </w:p>
    <w:bookmarkEnd w:id="404"/>
    <w:bookmarkStart w:id="405" w:name="ref-christensen1977seaweeds"/>
    <w:p>
      <w:pPr>
        <w:pStyle w:val="Bibliography"/>
      </w:pPr>
      <w:r>
        <w:t xml:space="preserve">Christensen, T., Dixon, P.S., Irvine, L.M., 1977. Seaweeds of the british isles: Tribophyceae (xanthophyceae). British Museum (Natural History).</w:t>
      </w:r>
    </w:p>
    <w:bookmarkEnd w:id="405"/>
    <w:bookmarkStart w:id="406" w:name="ref-cikovs2022recent"/>
    <w:p>
      <w:pPr>
        <w:pStyle w:val="Bibliography"/>
      </w:pPr>
      <w:r>
        <w:t xml:space="preserve">Cikoš, A.-M., Šubarić, D., Roje, M., Babić, J., Jerković, I., Jokić, S., 2022. Recent advances on macroalgal pigments and their biological activities (2016–2021). Algal research 65, 102748.</w:t>
      </w:r>
    </w:p>
    <w:bookmarkEnd w:id="406"/>
    <w:bookmarkStart w:id="407"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407"/>
    <w:bookmarkStart w:id="408" w:name="ref-collin2019improving"/>
    <w:p>
      <w:pPr>
        <w:pStyle w:val="Bibliography"/>
      </w:pPr>
      <w:r>
        <w:t xml:space="preserve">Collin, A., Dubois, S., James, D., Houet, T., 2019. Improving intertidal reef mapping using UAV surface, red edge, and near-infrared data. Drones 3, 67.</w:t>
      </w:r>
    </w:p>
    <w:bookmarkEnd w:id="408"/>
    <w:bookmarkStart w:id="409"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409"/>
    <w:bookmarkStart w:id="410"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410"/>
    <w:bookmarkStart w:id="412"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411">
        <w:r>
          <w:rPr>
            <w:rStyle w:val="Hyperlink"/>
          </w:rPr>
          <w:t xml:space="preserve">https://doi.org/10.1016/j.ecolind.2020.107018</w:t>
        </w:r>
      </w:hyperlink>
    </w:p>
    <w:bookmarkEnd w:id="412"/>
    <w:bookmarkStart w:id="413"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413"/>
    <w:bookmarkStart w:id="414"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414"/>
    <w:bookmarkStart w:id="415"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415"/>
    <w:bookmarkStart w:id="416"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416"/>
    <w:bookmarkStart w:id="418" w:name="ref-Davies2023"/>
    <w:p>
      <w:pPr>
        <w:pStyle w:val="Bibliography"/>
      </w:pPr>
      <w:r>
        <w:t xml:space="preserve">Davies, B.F.R., Gernez, P., Geraud, A., Oiry, S., Rosa, P., Zoffoli, M.L., Barillé, L., 2023a. Multi- and hyperspectral classification of soft-bottom intertidal vegetation using a spectral library for coastal biodiversity remote sensing. Remote Sensing of Environment 290, 113554.</w:t>
      </w:r>
      <w:r>
        <w:t xml:space="preserve"> </w:t>
      </w:r>
      <w:hyperlink r:id="rId417">
        <w:r>
          <w:rPr>
            <w:rStyle w:val="Hyperlink"/>
          </w:rPr>
          <w:t xml:space="preserve">https://doi.org/10.1016/j.rse.2023.113554</w:t>
        </w:r>
      </w:hyperlink>
    </w:p>
    <w:bookmarkEnd w:id="418"/>
    <w:bookmarkStart w:id="419" w:name="ref-davies2023multi"/>
    <w:p>
      <w:pPr>
        <w:pStyle w:val="Bibliography"/>
      </w:pPr>
      <w:r>
        <w:t xml:space="preserve">Davies, Bede Ffinian Rowe, Gernez, P., Geraud, A., Oiry, S., Rosa, P., Zoffoli, M.L., Barillé, L., 2023. Multi-and hyperspectral classification of soft-bottom intertidal vegetation using a spectral library for coastal biodiversity remote sensing. Remote Sensing of Environment 290, 113554.</w:t>
      </w:r>
    </w:p>
    <w:bookmarkEnd w:id="419"/>
    <w:bookmarkStart w:id="420" w:name="ref-Davies2022b"/>
    <w:p>
      <w:pPr>
        <w:pStyle w:val="Bibliography"/>
      </w:pPr>
      <w:r>
        <w:t xml:space="preserve">Davies, B.F.R., Holmes, L., Attrill, M.J., Sheehan, E.V., 2022. Ecosystem benefits of adopting a whole-site approach to MPA management. Fisheries Management and Ecology.</w:t>
      </w:r>
    </w:p>
    <w:bookmarkEnd w:id="420"/>
    <w:bookmarkStart w:id="421"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p>
    <w:bookmarkEnd w:id="421"/>
    <w:bookmarkStart w:id="422"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p>
    <w:bookmarkEnd w:id="422"/>
    <w:bookmarkStart w:id="424" w:name="ref-BedeGbif"/>
    <w:p>
      <w:pPr>
        <w:pStyle w:val="Bibliography"/>
      </w:pPr>
      <w:r>
        <w:t xml:space="preserve">Davies, B.F.R., Sousa, A.I., Figueira, R., Oiry, S., Gernez, P., Barillé, L., 2023b. Benthic intertidal vegetation from the tagus estuary and aveiro lagoon.</w:t>
      </w:r>
      <w:r>
        <w:t xml:space="preserve"> </w:t>
      </w:r>
      <w:hyperlink r:id="rId423">
        <w:r>
          <w:rPr>
            <w:rStyle w:val="Hyperlink"/>
          </w:rPr>
          <w:t xml:space="preserve">https://doi.org/10.15468/n4ak6x</w:t>
        </w:r>
      </w:hyperlink>
    </w:p>
    <w:bookmarkEnd w:id="424"/>
    <w:bookmarkStart w:id="425" w:name="ref-davis2003review"/>
    <w:p>
      <w:pPr>
        <w:pStyle w:val="Bibliography"/>
      </w:pPr>
      <w:r>
        <w:t xml:space="preserve">Davis, T.A., Volesky, B., Mucci, A., 2003. A review of the biochemistry of heavy metal biosorption by brown algae. Water research 37, 4311–4330.</w:t>
      </w:r>
    </w:p>
    <w:bookmarkEnd w:id="425"/>
    <w:bookmarkStart w:id="426"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426"/>
    <w:bookmarkStart w:id="427" w:name="ref-de1995wind"/>
    <w:p>
      <w:pPr>
        <w:pStyle w:val="Bibliography"/>
      </w:pPr>
      <w:r>
        <w:t xml:space="preserve">De Jorge, V., Van Beusekom, J., 1995. Wind-and tide-induced resuspension of sediment and microphytobenthos from tidal flats in the ems estuary. Limnology and oceanography 40, 776–778.</w:t>
      </w:r>
    </w:p>
    <w:bookmarkEnd w:id="427"/>
    <w:bookmarkStart w:id="428" w:name="ref-decho2000microbial"/>
    <w:p>
      <w:pPr>
        <w:pStyle w:val="Bibliography"/>
      </w:pPr>
      <w:r>
        <w:t xml:space="preserve">Decho, A.W., 2000. Microbial biofilms in intertidal systems: An overview. Continental shelf research 20, 1257–1273.</w:t>
      </w:r>
    </w:p>
    <w:bookmarkEnd w:id="428"/>
    <w:bookmarkStart w:id="429"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429"/>
    <w:bookmarkStart w:id="430"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430"/>
    <w:bookmarkStart w:id="431" w:name="ref-devlin2023nutrients"/>
    <w:p>
      <w:pPr>
        <w:pStyle w:val="Bibliography"/>
      </w:pPr>
      <w:r>
        <w:t xml:space="preserve">Devlin, M., Brodie, J., 2023. Nutrients and eutrophication, in: Marine Pollution–Monitoring, Management and Mitigation. Springer, pp. 75–100.</w:t>
      </w:r>
    </w:p>
    <w:bookmarkEnd w:id="431"/>
    <w:bookmarkStart w:id="433"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432">
        <w:r>
          <w:rPr>
            <w:rStyle w:val="Hyperlink"/>
          </w:rPr>
          <w:t xml:space="preserve">https://doi.org/10.1016/j.rse.2015.01.027</w:t>
        </w:r>
      </w:hyperlink>
    </w:p>
    <w:bookmarkEnd w:id="433"/>
    <w:bookmarkStart w:id="434"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434"/>
    <w:bookmarkStart w:id="435" w:name="ref-Diruit2022"/>
    <w:p>
      <w:pPr>
        <w:pStyle w:val="Bibliography"/>
      </w:pPr>
      <w:r>
        <w:t xml:space="preserve">Diruit, W., Le Bris, A., Bajjouk, T., Richier, S., Helias, M., Burel, T., Lennon, M., Guyot, A., Ar Gall, E., 2022a. Seaweed habitats on the shore: Characterization through hyperspectral UAV imagery and field sampling. Remote Sensing 14, 3124.</w:t>
      </w:r>
    </w:p>
    <w:bookmarkEnd w:id="435"/>
    <w:bookmarkStart w:id="437" w:name="ref-rs14133124"/>
    <w:p>
      <w:pPr>
        <w:pStyle w:val="Bibliography"/>
      </w:pPr>
      <w:r>
        <w:t xml:space="preserve">Diruit, W., Le Bris, A., Bajjouk, T., Richier, S., Helias, M., Burel, T., Lennon, M., Guyot, A., Ar Gall, E., 2022b. Seaweed habitats on the shore: Characterization through hyperspectral UAV imagery and field sampling. Remote Sensing 14.</w:t>
      </w:r>
      <w:r>
        <w:t xml:space="preserve"> </w:t>
      </w:r>
      <w:hyperlink r:id="rId436">
        <w:r>
          <w:rPr>
            <w:rStyle w:val="Hyperlink"/>
          </w:rPr>
          <w:t xml:space="preserve">https://doi.org/10.3390/rs14133124</w:t>
        </w:r>
      </w:hyperlink>
    </w:p>
    <w:bookmarkEnd w:id="437"/>
    <w:bookmarkStart w:id="439" w:name="ref-Douay2022"/>
    <w:p>
      <w:pPr>
        <w:pStyle w:val="Bibliography"/>
      </w:pPr>
      <w:r>
        <w:t xml:space="preserve">Douay, F., Verpoorter, C., Duong, G., Spilmont, N., Gevaert, F., 2022a. New hyperspectral procedure to discriminate intertidal macroalgae. Remote Sensing 14.</w:t>
      </w:r>
      <w:r>
        <w:t xml:space="preserve"> </w:t>
      </w:r>
      <w:hyperlink r:id="rId438">
        <w:r>
          <w:rPr>
            <w:rStyle w:val="Hyperlink"/>
          </w:rPr>
          <w:t xml:space="preserve">https://doi.org/10.3390/rs14020346</w:t>
        </w:r>
      </w:hyperlink>
    </w:p>
    <w:bookmarkEnd w:id="439"/>
    <w:bookmarkStart w:id="440" w:name="ref-rs14020346"/>
    <w:p>
      <w:pPr>
        <w:pStyle w:val="Bibliography"/>
      </w:pPr>
      <w:r>
        <w:t xml:space="preserve">Douay, F., Verpoorter, C., Duong, G., Spilmont, N., Gevaert, F., 2022b. New hyperspectral procedure to discriminate intertidal macroalgae. Remote Sensing 14.</w:t>
      </w:r>
      <w:r>
        <w:t xml:space="preserve"> </w:t>
      </w:r>
      <w:hyperlink r:id="rId438">
        <w:r>
          <w:rPr>
            <w:rStyle w:val="Hyperlink"/>
          </w:rPr>
          <w:t xml:space="preserve">https://doi.org/10.3390/rs14020346</w:t>
        </w:r>
      </w:hyperlink>
    </w:p>
    <w:bookmarkEnd w:id="440"/>
    <w:bookmarkStart w:id="441"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441"/>
    <w:bookmarkStart w:id="442"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442"/>
    <w:bookmarkStart w:id="443"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443"/>
    <w:bookmarkStart w:id="444"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444"/>
    <w:bookmarkStart w:id="445"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445"/>
    <w:bookmarkStart w:id="446"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446"/>
    <w:bookmarkStart w:id="447"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447"/>
    <w:bookmarkStart w:id="448"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448"/>
    <w:bookmarkStart w:id="449"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449"/>
    <w:bookmarkStart w:id="450" w:name="ref-elton2020ecology"/>
    <w:p>
      <w:pPr>
        <w:pStyle w:val="Bibliography"/>
      </w:pPr>
      <w:r>
        <w:t xml:space="preserve">Elton, C.S., 2020. The ecology of invasions by animals and plants. Springer Nature.</w:t>
      </w:r>
    </w:p>
    <w:bookmarkEnd w:id="450"/>
    <w:bookmarkStart w:id="451" w:name="ref-WFD2000"/>
    <w:p>
      <w:pPr>
        <w:pStyle w:val="Bibliography"/>
      </w:pPr>
      <w:r>
        <w:t xml:space="preserve">European-Commission, 2000.</w:t>
      </w:r>
      <w:r>
        <w:t xml:space="preserve"> </w:t>
      </w:r>
      <w:r>
        <w:t xml:space="preserve">“DIRECTIVE 2000/60/EC OF THE EUROPEAN PARLIAMENT AND OF THE COUNCIL of 23 October 2000 establishing a framework for Community action in the field of water policy”</w:t>
      </w:r>
      <w:r>
        <w:t xml:space="preserve"> </w:t>
      </w:r>
      <w:r>
        <w:t xml:space="preserve">or, in short, the EU Water Framework Directive</w:t>
      </w:r>
      <w:r>
        <w:t xml:space="preserve">. Official Journal of the European Communities L 327, 1–72.</w:t>
      </w:r>
    </w:p>
    <w:bookmarkEnd w:id="451"/>
    <w:bookmarkStart w:id="452"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452"/>
    <w:bookmarkStart w:id="453" w:name="ref-firth2024invasive"/>
    <w:p>
      <w:pPr>
        <w:pStyle w:val="Bibliography"/>
      </w:pPr>
      <w:r>
        <w:t xml:space="preserve">Firth, L.B., Foggo, A., Watts, T., Knights, A.M., DeAmicis, S., 2024. Invasive macroalgae in native seagrass beds: Vectors of spread and impacts. Annals of Botany 133, 41–50.</w:t>
      </w:r>
    </w:p>
    <w:bookmarkEnd w:id="453"/>
    <w:bookmarkStart w:id="454" w:name="ref-foden2007angiosperms"/>
    <w:p>
      <w:pPr>
        <w:pStyle w:val="Bibliography"/>
      </w:pPr>
      <w:r>
        <w:t xml:space="preserve">Foden, J., Brazier, D., 2007. Angiosperms (seagrass) within the EU water framework directive: A UK perspective. Marine Pollution Bulletin 55, 181–195.</w:t>
      </w:r>
    </w:p>
    <w:bookmarkEnd w:id="454"/>
    <w:bookmarkStart w:id="455"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455"/>
    <w:bookmarkStart w:id="457" w:name="ref-R-rsample"/>
    <w:p>
      <w:pPr>
        <w:pStyle w:val="Bibliography"/>
      </w:pPr>
      <w:r>
        <w:t xml:space="preserve">Frick, H., Chow, F., Kuhn, M., Mahoney, M., Silge, J., Wickham, H., 2024.</w:t>
      </w:r>
      <w:r>
        <w:t xml:space="preserve"> </w:t>
      </w:r>
      <w:hyperlink r:id="rId456">
        <w:r>
          <w:rPr>
            <w:rStyle w:val="Hyperlink"/>
          </w:rPr>
          <w:t xml:space="preserve">Rsample: General resampling infrastructure</w:t>
        </w:r>
      </w:hyperlink>
      <w:r>
        <w:t xml:space="preserve">.</w:t>
      </w:r>
    </w:p>
    <w:bookmarkEnd w:id="457"/>
    <w:bookmarkStart w:id="458" w:name="ref-fyfe2003spatial"/>
    <w:p>
      <w:pPr>
        <w:pStyle w:val="Bibliography"/>
      </w:pPr>
      <w:r>
        <w:t xml:space="preserve">Fyfe, S., 2003. Spatial and temporal variation in spectral reflectance: Are seagrass species spectrally distinct? Limnology and Oceanography 48, 464–479.</w:t>
      </w:r>
    </w:p>
    <w:bookmarkEnd w:id="458"/>
    <w:bookmarkStart w:id="460" w:name="ref-Fyfe2003"/>
    <w:p>
      <w:pPr>
        <w:pStyle w:val="Bibliography"/>
      </w:pPr>
      <w:r>
        <w:t xml:space="preserve">Fyfe, S.K., 2003.</w:t>
      </w:r>
      <w:r>
        <w:t xml:space="preserve"> </w:t>
      </w:r>
      <w:r>
        <w:t xml:space="preserve">Spatial and temporal variation in spectral reflectance: Are seagrass species spectrally distinct?</w:t>
      </w:r>
      <w:r>
        <w:t xml:space="preserve"> Limnology and Oceanography 48, 464–479.</w:t>
      </w:r>
      <w:r>
        <w:t xml:space="preserve"> </w:t>
      </w:r>
      <w:hyperlink r:id="rId459">
        <w:r>
          <w:rPr>
            <w:rStyle w:val="Hyperlink"/>
          </w:rPr>
          <w:t xml:space="preserve">https://doi.org/10.4319/lo.2003.48.1_part_2.0464</w:t>
        </w:r>
      </w:hyperlink>
    </w:p>
    <w:bookmarkEnd w:id="460"/>
    <w:bookmarkStart w:id="461" w:name="ref-gallardo2016global"/>
    <w:p>
      <w:pPr>
        <w:pStyle w:val="Bibliography"/>
      </w:pPr>
      <w:r>
        <w:t xml:space="preserve">Gallardo, B., Clavero, M., Sánchez, M.I., Vilà, M., 2016. Global ecological impacts of invasive species in aquatic ecosystems. Global change biology 22, 151–163.</w:t>
      </w:r>
    </w:p>
    <w:bookmarkEnd w:id="461"/>
    <w:bookmarkStart w:id="462" w:name="ref-Gardner2018"/>
    <w:p>
      <w:pPr>
        <w:pStyle w:val="Bibliography"/>
      </w:pPr>
      <w:r>
        <w:t xml:space="preserve">Gardner, R.C., Finlayson, C., 2018a. Global wetland outlook: State of the world’s wetlands and their services to people, in: Ramsar Convention Secretariat. pp. 2020–5.</w:t>
      </w:r>
    </w:p>
    <w:bookmarkEnd w:id="462"/>
    <w:bookmarkStart w:id="463" w:name="ref-gardner2018"/>
    <w:p>
      <w:pPr>
        <w:pStyle w:val="Bibliography"/>
      </w:pPr>
      <w:r>
        <w:t xml:space="preserve">Gardner, R.C., Finlayson, C., 2018b. Global wetland outlook: State of the world’s wetlands and their services to people. Stetson Law.</w:t>
      </w:r>
    </w:p>
    <w:bookmarkEnd w:id="463"/>
    <w:bookmarkStart w:id="465"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464">
        <w:r>
          <w:rPr>
            <w:rStyle w:val="Hyperlink"/>
          </w:rPr>
          <w:t xml:space="preserve">https://doi.org/10.1016/j.ecss.2021.107320</w:t>
        </w:r>
      </w:hyperlink>
    </w:p>
    <w:bookmarkEnd w:id="465"/>
    <w:bookmarkStart w:id="466"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466"/>
    <w:bookmarkStart w:id="467"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467"/>
    <w:bookmarkStart w:id="468" w:name="ref-Green2021"/>
    <w:p>
      <w:pPr>
        <w:pStyle w:val="Bibliography"/>
      </w:pPr>
      <w:r>
        <w:t xml:space="preserve">Green, A.E., Unsworth, R.K., Chadwick, M.A., Jones, P.J., 2021. Historical analysis exposes catastrophic seagrass loss for the united kingdom. Frontiers in plant science 261.</w:t>
      </w:r>
    </w:p>
    <w:bookmarkEnd w:id="468"/>
    <w:bookmarkStart w:id="469" w:name="ref-green2021functional"/>
    <w:p>
      <w:pPr>
        <w:pStyle w:val="Bibliography"/>
      </w:pPr>
      <w:r>
        <w:t xml:space="preserve">Green, S.J., Grosholz, E.D., 2021. Functional eradication as a framework for invasive species control. Frontiers in Ecology and the Environment 19, 98–107.</w:t>
      </w:r>
    </w:p>
    <w:bookmarkEnd w:id="469"/>
    <w:bookmarkStart w:id="471" w:name="ref-R-vip"/>
    <w:p>
      <w:pPr>
        <w:pStyle w:val="Bibliography"/>
      </w:pPr>
      <w:r>
        <w:t xml:space="preserve">Greenwell, B.M., Boehmke, B., 2023.</w:t>
      </w:r>
      <w:r>
        <w:t xml:space="preserve"> </w:t>
      </w:r>
      <w:hyperlink r:id="rId470">
        <w:r>
          <w:rPr>
            <w:rStyle w:val="Hyperlink"/>
          </w:rPr>
          <w:t xml:space="preserve">Vip: Variable importance plots</w:t>
        </w:r>
      </w:hyperlink>
      <w:r>
        <w:t xml:space="preserve">.</w:t>
      </w:r>
    </w:p>
    <w:bookmarkEnd w:id="471"/>
    <w:bookmarkStart w:id="472" w:name="ref-grizel1991introduction"/>
    <w:p>
      <w:pPr>
        <w:pStyle w:val="Bibliography"/>
      </w:pPr>
      <w:r>
        <w:t xml:space="preserve">Grizel, H., Heral, M., 1991. Introduction into france of the japanese oyster (crassostrea gigas). ICES Journal of Marine Science 47, 399–403.</w:t>
      </w:r>
    </w:p>
    <w:bookmarkEnd w:id="472"/>
    <w:bookmarkStart w:id="473"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473"/>
    <w:bookmarkStart w:id="474" w:name="ref-Guyot1990"/>
    <w:p>
      <w:pPr>
        <w:pStyle w:val="Bibliography"/>
      </w:pPr>
      <w:r>
        <w:t xml:space="preserve">Guyot, G., 1990. Optical properties of vegetation canopies. Optical properties of vegetation canopies. 19–43.</w:t>
      </w:r>
    </w:p>
    <w:bookmarkEnd w:id="474"/>
    <w:bookmarkStart w:id="475"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475"/>
    <w:bookmarkStart w:id="476" w:name="ref-hanley2024victim"/>
    <w:p>
      <w:pPr>
        <w:pStyle w:val="Bibliography"/>
      </w:pPr>
      <w:r>
        <w:t xml:space="preserve">Hanley, M.E., Firth, L.B., Foggo, A., 2024. Victim of changes? Marine macroalgae in a changing world. Annals of Botany 133, 1–16.</w:t>
      </w:r>
    </w:p>
    <w:bookmarkEnd w:id="476"/>
    <w:bookmarkStart w:id="477" w:name="ref-haro2023biointertidal"/>
    <w:p>
      <w:pPr>
        <w:pStyle w:val="Bibliography"/>
      </w:pPr>
      <w:r>
        <w:t xml:space="preserve">Haro, S., Jimenez-Reina, J., Bermejo, R., Morrison, L., 2023. BioIntertidal mapper software: A satellite approach for NDVI-based intertidal habitat mapping. SoftwareX 24, 101520.</w:t>
      </w:r>
    </w:p>
    <w:bookmarkEnd w:id="477"/>
    <w:bookmarkStart w:id="478" w:name="ref-hassan2005ecosystems"/>
    <w:p>
      <w:pPr>
        <w:pStyle w:val="Bibliography"/>
      </w:pPr>
      <w:r>
        <w:t xml:space="preserve">Hassan, R., Scholes, R., Ash, N., 2005. Ecosystems and human well-being: Current state and trends.</w:t>
      </w:r>
    </w:p>
    <w:bookmarkEnd w:id="478"/>
    <w:bookmarkStart w:id="480" w:name="ref-Hedley2018"/>
    <w:p>
      <w:pPr>
        <w:pStyle w:val="Bibliography"/>
      </w:pPr>
      <w:r>
        <w:t xml:space="preserve">Hedley, John D., Mirhakak, M., Wentworth, A., Dierssen, H.M., 2018a. Influence of three-dimensional coral structures on hyperspectral benthic reflectance and water-leaving reflectance. Applied Sciences 8.</w:t>
      </w:r>
      <w:r>
        <w:t xml:space="preserve"> </w:t>
      </w:r>
      <w:hyperlink r:id="rId479">
        <w:r>
          <w:rPr>
            <w:rStyle w:val="Hyperlink"/>
          </w:rPr>
          <w:t xml:space="preserve">https://doi.org/10.3390/app8122688</w:t>
        </w:r>
      </w:hyperlink>
    </w:p>
    <w:bookmarkEnd w:id="480"/>
    <w:bookmarkStart w:id="481" w:name="ref-hedley2018influence"/>
    <w:p>
      <w:pPr>
        <w:pStyle w:val="Bibliography"/>
      </w:pPr>
      <w:r>
        <w:t xml:space="preserve">Hedley, John D., Mirhakak, M., Wentworth, A., Dierssen, H.M., 2018b. Influence of three-dimensional coral structures on hyperspectral benthic reflectance and water-leaving reflectance. Applied Sciences 8, 2688.</w:t>
      </w:r>
    </w:p>
    <w:bookmarkEnd w:id="481"/>
    <w:bookmarkStart w:id="483"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482">
        <w:r>
          <w:rPr>
            <w:rStyle w:val="Hyperlink"/>
          </w:rPr>
          <w:t xml:space="preserve">https://doi.org/10.1016/j.rse.2015.05.023</w:t>
        </w:r>
      </w:hyperlink>
    </w:p>
    <w:bookmarkEnd w:id="483"/>
    <w:bookmarkStart w:id="485" w:name="ref-terrapck"/>
    <w:p>
      <w:pPr>
        <w:pStyle w:val="Bibliography"/>
      </w:pPr>
      <w:r>
        <w:t xml:space="preserve">Hijmans, R.J., 2024.</w:t>
      </w:r>
      <w:r>
        <w:t xml:space="preserve"> </w:t>
      </w:r>
      <w:hyperlink r:id="rId484">
        <w:r>
          <w:rPr>
            <w:rStyle w:val="Hyperlink"/>
          </w:rPr>
          <w:t xml:space="preserve">Terra: Spatial data analysis</w:t>
        </w:r>
      </w:hyperlink>
      <w:r>
        <w:t xml:space="preserve">.</w:t>
      </w:r>
    </w:p>
    <w:bookmarkEnd w:id="485"/>
    <w:bookmarkStart w:id="486"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486"/>
    <w:bookmarkStart w:id="488"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487">
        <w:r>
          <w:rPr>
            <w:rStyle w:val="Hyperlink"/>
          </w:rPr>
          <w:t xml:space="preserve">https://doi.org/10.1016/j.envpol.2021.117731</w:t>
        </w:r>
      </w:hyperlink>
    </w:p>
    <w:bookmarkEnd w:id="488"/>
    <w:bookmarkStart w:id="489" w:name="ref-howard2018fastai"/>
    <w:p>
      <w:pPr>
        <w:pStyle w:val="Bibliography"/>
      </w:pPr>
      <w:r>
        <w:t xml:space="preserve">Howard, J., others, 2018. Fastai.</w:t>
      </w:r>
    </w:p>
    <w:bookmarkEnd w:id="489"/>
    <w:bookmarkStart w:id="491"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490">
        <w:r>
          <w:rPr>
            <w:rStyle w:val="Hyperlink"/>
          </w:rPr>
          <w:t xml:space="preserve">https://doi.org/10.1016/j.rse.2017.01.037</w:t>
        </w:r>
      </w:hyperlink>
    </w:p>
    <w:bookmarkEnd w:id="491"/>
    <w:bookmarkStart w:id="493" w:name="ref-ign"/>
    <w:p>
      <w:pPr>
        <w:pStyle w:val="Bibliography"/>
      </w:pPr>
      <w:r>
        <w:t xml:space="preserve">IGN, 2024a.</w:t>
      </w:r>
      <w:r>
        <w:t xml:space="preserve"> </w:t>
      </w:r>
      <w:hyperlink r:id="rId492">
        <w:r>
          <w:rPr>
            <w:rStyle w:val="Hyperlink"/>
          </w:rPr>
          <w:t xml:space="preserve">Institut national de l’information géographique et forestiere (IGN)</w:t>
        </w:r>
      </w:hyperlink>
      <w:r>
        <w:t xml:space="preserve">.</w:t>
      </w:r>
    </w:p>
    <w:bookmarkEnd w:id="493"/>
    <w:bookmarkStart w:id="494" w:name="ref-RemonterLeTempsIGN"/>
    <w:p>
      <w:pPr>
        <w:pStyle w:val="Bibliography"/>
      </w:pPr>
      <w:r>
        <w:t xml:space="preserve">IGN, 2024b. Remonter le temps.</w:t>
      </w:r>
    </w:p>
    <w:bookmarkEnd w:id="494"/>
    <w:bookmarkStart w:id="495" w:name="ref-ismail2020therapeutic"/>
    <w:p>
      <w:pPr>
        <w:pStyle w:val="Bibliography"/>
      </w:pPr>
      <w:r>
        <w:t xml:space="preserve">Ismail, M.M., Alotaibi, B.S., El-Sheekh, M.M., 2020. Therapeutic uses of red macroalgae. Molecules 25, 4411.</w:t>
      </w:r>
    </w:p>
    <w:bookmarkEnd w:id="495"/>
    <w:bookmarkStart w:id="497" w:name="ref-itopf_statistics"/>
    <w:p>
      <w:pPr>
        <w:pStyle w:val="Bibliography"/>
      </w:pPr>
      <w:r>
        <w:t xml:space="preserve">ITOPF, I.T.O.P.F., 2023.</w:t>
      </w:r>
      <w:r>
        <w:t xml:space="preserve"> </w:t>
      </w:r>
      <w:hyperlink r:id="rId496">
        <w:r>
          <w:rPr>
            <w:rStyle w:val="Hyperlink"/>
          </w:rPr>
          <w:t xml:space="preserve">Statistics - ITOPF</w:t>
        </w:r>
      </w:hyperlink>
      <w:r>
        <w:t xml:space="preserve">.</w:t>
      </w:r>
    </w:p>
    <w:bookmarkEnd w:id="497"/>
    <w:bookmarkStart w:id="498"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498"/>
    <w:bookmarkStart w:id="499"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499"/>
    <w:bookmarkStart w:id="501" w:name="ref-IMO2020GHG"/>
    <w:p>
      <w:pPr>
        <w:pStyle w:val="Bibliography"/>
      </w:pPr>
      <w:r>
        <w:t xml:space="preserve">Jasper Faber, S.Z., Shinichi Hanayama, 2021.</w:t>
      </w:r>
      <w:r>
        <w:t xml:space="preserve"> </w:t>
      </w:r>
      <w:hyperlink r:id="rId500">
        <w:r>
          <w:rPr>
            <w:rStyle w:val="Hyperlink"/>
          </w:rPr>
          <w:t xml:space="preserve">Fourth IMO GHG study 2020: Executive summary</w:t>
        </w:r>
      </w:hyperlink>
      <w:r>
        <w:t xml:space="preserve">. International Maritime Organization (IMO), 4 Albert Embankment, London SE1 7SR.</w:t>
      </w:r>
    </w:p>
    <w:bookmarkEnd w:id="501"/>
    <w:bookmarkStart w:id="502"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502"/>
    <w:bookmarkStart w:id="503"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503"/>
    <w:bookmarkStart w:id="505"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504">
        <w:r>
          <w:rPr>
            <w:rStyle w:val="Hyperlink"/>
          </w:rPr>
          <w:t xml:space="preserve">https://doi.org/10.1177/0309133309339563</w:t>
        </w:r>
      </w:hyperlink>
    </w:p>
    <w:bookmarkEnd w:id="505"/>
    <w:bookmarkStart w:id="506" w:name="ref-joyce2023"/>
    <w:p>
      <w:pPr>
        <w:pStyle w:val="Bibliography"/>
      </w:pPr>
      <w:r>
        <w:t xml:space="preserve">Joyce, K.E., Fickas, K.C., Kalamandeen, M., 2023. The unique value proposition for using drones to map coastal ecosystems. Cambridge Prisms: Coastal Futures 1, e6.</w:t>
      </w:r>
    </w:p>
    <w:bookmarkEnd w:id="506"/>
    <w:bookmarkStart w:id="507"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507"/>
    <w:bookmarkStart w:id="508" w:name="ref-Kirk1994"/>
    <w:p>
      <w:pPr>
        <w:pStyle w:val="Bibliography"/>
      </w:pPr>
      <w:r>
        <w:t xml:space="preserve">Kirk, J.T., 1994a. Light and photosynthesis in aquatic ecosystems. Cambridge university press.</w:t>
      </w:r>
    </w:p>
    <w:bookmarkEnd w:id="508"/>
    <w:bookmarkStart w:id="509" w:name="ref-kirk1994light"/>
    <w:p>
      <w:pPr>
        <w:pStyle w:val="Bibliography"/>
      </w:pPr>
      <w:r>
        <w:t xml:space="preserve">Kirk, J.T., 1994b. Light and photosynthesis in aquatic ecosystems. Cambridge university press.</w:t>
      </w:r>
    </w:p>
    <w:bookmarkEnd w:id="509"/>
    <w:bookmarkStart w:id="510" w:name="ref-klemas2012remote"/>
    <w:p>
      <w:pPr>
        <w:pStyle w:val="Bibliography"/>
      </w:pPr>
      <w:r>
        <w:t xml:space="preserve">Klemas, V., 2012. Remote sensing of algal blooms: An overview with case studies. Journal of coastal research 28, 34–43.</w:t>
      </w:r>
    </w:p>
    <w:bookmarkEnd w:id="510"/>
    <w:bookmarkStart w:id="511"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511"/>
    <w:bookmarkStart w:id="512"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512"/>
    <w:bookmarkStart w:id="513"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513"/>
    <w:bookmarkStart w:id="515"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514">
        <w:r>
          <w:rPr>
            <w:rStyle w:val="Hyperlink"/>
          </w:rPr>
          <w:t xml:space="preserve">https://doi.org/10.1063/1.44433</w:t>
        </w:r>
      </w:hyperlink>
    </w:p>
    <w:bookmarkEnd w:id="515"/>
    <w:bookmarkStart w:id="517" w:name="ref-R-yardstick"/>
    <w:p>
      <w:pPr>
        <w:pStyle w:val="Bibliography"/>
      </w:pPr>
      <w:r>
        <w:t xml:space="preserve">Kuhn, M., Vaughan, D., Hvitfeldt, E., 2024.</w:t>
      </w:r>
      <w:r>
        <w:t xml:space="preserve"> </w:t>
      </w:r>
      <w:hyperlink r:id="rId516">
        <w:r>
          <w:rPr>
            <w:rStyle w:val="Hyperlink"/>
          </w:rPr>
          <w:t xml:space="preserve">Yardstick: Tidy characterizations of model performance</w:t>
        </w:r>
      </w:hyperlink>
      <w:r>
        <w:t xml:space="preserve">.</w:t>
      </w:r>
    </w:p>
    <w:bookmarkEnd w:id="517"/>
    <w:bookmarkStart w:id="519" w:name="ref-tidymodels2020"/>
    <w:p>
      <w:pPr>
        <w:pStyle w:val="Bibliography"/>
      </w:pPr>
      <w:r>
        <w:t xml:space="preserve">Kuhn, M., Wickham, H., 2020.</w:t>
      </w:r>
      <w:r>
        <w:t xml:space="preserve"> </w:t>
      </w:r>
      <w:hyperlink r:id="rId518">
        <w:r>
          <w:rPr>
            <w:rStyle w:val="Hyperlink"/>
          </w:rPr>
          <w:t xml:space="preserve">Tidymodels: A collection of packages for modeling and machine learning using tidyverse principles.</w:t>
        </w:r>
      </w:hyperlink>
    </w:p>
    <w:bookmarkEnd w:id="519"/>
    <w:bookmarkStart w:id="521"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520">
        <w:r>
          <w:rPr>
            <w:rStyle w:val="Hyperlink"/>
          </w:rPr>
          <w:t xml:space="preserve">https://doi.org/10.1016/j.ecss.2005.12.004</w:t>
        </w:r>
      </w:hyperlink>
    </w:p>
    <w:bookmarkEnd w:id="521"/>
    <w:bookmarkStart w:id="522"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522"/>
    <w:bookmarkStart w:id="523"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523"/>
    <w:bookmarkStart w:id="524"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524"/>
    <w:bookmarkStart w:id="525" w:name="ref-Legare2022"/>
    <w:p>
      <w:pPr>
        <w:pStyle w:val="Bibliography"/>
      </w:pPr>
      <w:r>
        <w:t xml:space="preserve">Légaré, B., Bélanger, S., Singh, R.K., Bernatchez, P., Cusson, M., 2022a. Remote sensing of coastal vegetation phenology in a cold temperate intertidal system: Implications for classification of coastal habitats. Remote Sensing 14, 3000.</w:t>
      </w:r>
    </w:p>
    <w:bookmarkEnd w:id="525"/>
    <w:bookmarkStart w:id="526" w:name="ref-legare2022remote"/>
    <w:p>
      <w:pPr>
        <w:pStyle w:val="Bibliography"/>
      </w:pPr>
      <w:r>
        <w:t xml:space="preserve">Légaré, B., Bélanger, S., Singh, R.K., Bernatchez, P., Cusson, M., 2022b. Remote sensing of coastal vegetation phenology in a cold temperate intertidal system: Implications for classification of coastal habitats. Remote Sensing 14, 3000.</w:t>
      </w:r>
    </w:p>
    <w:bookmarkEnd w:id="526"/>
    <w:bookmarkStart w:id="527"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527"/>
    <w:bookmarkStart w:id="528"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528"/>
    <w:bookmarkStart w:id="529"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529"/>
    <w:bookmarkStart w:id="530"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530"/>
    <w:bookmarkStart w:id="531"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531"/>
    <w:bookmarkStart w:id="532" w:name="ref-de2019recent"/>
    <w:p>
      <w:pPr>
        <w:pStyle w:val="Bibliography"/>
      </w:pPr>
      <w:r>
        <w:t xml:space="preserve">Los Santos, C.B. de, Krause-Jensen, D., Alcoverro, T., Marbà, N., Duarte, C.M., Van Katwijk, M.M., Pérez, M., Romero, J., Sánchez-Lizaso, J.L., Roca, G., others, 2019a. Recent trend reversal for declining european seagrass meadows. Nature communications 10, 3356.</w:t>
      </w:r>
    </w:p>
    <w:bookmarkEnd w:id="532"/>
    <w:bookmarkStart w:id="533" w:name="ref-deSantos2019"/>
    <w:p>
      <w:pPr>
        <w:pStyle w:val="Bibliography"/>
      </w:pPr>
      <w:r>
        <w:t xml:space="preserve">Los Santos, C.B. de, Krause-Jensen, D., Alcoverro, T., Marbà, N., Duarte, C.M., Van Katwijk, M.M., Pérez, M., Romero, J., Sánchez-Lizaso, J.L., Roca, G., others, 2019b. Recent trend reversal for declining european seagrass meadows. Nature communications 10, 3356.</w:t>
      </w:r>
    </w:p>
    <w:bookmarkEnd w:id="533"/>
    <w:bookmarkStart w:id="534" w:name="ref-louime2017sargassum"/>
    <w:p>
      <w:pPr>
        <w:pStyle w:val="Bibliography"/>
      </w:pPr>
      <w:r>
        <w:t xml:space="preserve">Louime, C., Fortune, J., Gervais, G., 2017. Sargassum invasion of coastal environments: A growing concern. American Journal of Environmental Sciences 13, 58–64.</w:t>
      </w:r>
    </w:p>
    <w:bookmarkEnd w:id="534"/>
    <w:bookmarkStart w:id="535" w:name="ref-lovelock2017mangrove"/>
    <w:p>
      <w:pPr>
        <w:pStyle w:val="Bibliography"/>
      </w:pPr>
      <w:r>
        <w:t xml:space="preserve">Lovelock, C.E., Feller, I.C., Reef, R., Hickey, S., Ball, M.C., 2017. Mangrove dieback during fluctuating sea levels. Scientific Reports 7, 1680.</w:t>
      </w:r>
    </w:p>
    <w:bookmarkEnd w:id="535"/>
    <w:bookmarkStart w:id="536"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536"/>
    <w:bookmarkStart w:id="537"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537"/>
    <w:bookmarkStart w:id="538"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538"/>
    <w:bookmarkStart w:id="539"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539"/>
    <w:bookmarkStart w:id="541"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540">
        <w:r>
          <w:rPr>
            <w:rStyle w:val="Hyperlink"/>
          </w:rPr>
          <w:t xml:space="preserve">https://doi.org/10.3390/d15020161</w:t>
        </w:r>
      </w:hyperlink>
    </w:p>
    <w:bookmarkEnd w:id="541"/>
    <w:bookmarkStart w:id="542"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542"/>
    <w:bookmarkStart w:id="544" w:name="ref-Mcilwaine2019"/>
    <w:p>
      <w:pPr>
        <w:pStyle w:val="Bibliography"/>
      </w:pPr>
      <w:r>
        <w:t xml:space="preserve">Mcilwaine, B., Casado, M.R., Leinster, P., 2019a.</w:t>
      </w:r>
      <w:r>
        <w:t xml:space="preserve"> </w:t>
      </w:r>
      <w:r>
        <w:t xml:space="preserve">Using 1st derivative reflectance signatures within a remote sensing framework to identify macroalgae in Marine environments</w:t>
      </w:r>
      <w:r>
        <w:t xml:space="preserve">. Remote Sensing 11, 1–23.</w:t>
      </w:r>
      <w:r>
        <w:t xml:space="preserve"> </w:t>
      </w:r>
      <w:hyperlink r:id="rId543">
        <w:r>
          <w:rPr>
            <w:rStyle w:val="Hyperlink"/>
          </w:rPr>
          <w:t xml:space="preserve">https://doi.org/10.3390/rs11060704</w:t>
        </w:r>
      </w:hyperlink>
    </w:p>
    <w:bookmarkEnd w:id="544"/>
    <w:bookmarkStart w:id="545" w:name="ref-rs11060704"/>
    <w:p>
      <w:pPr>
        <w:pStyle w:val="Bibliography"/>
      </w:pPr>
      <w:r>
        <w:t xml:space="preserve">Mcilwaine, B., Casado, M.R., Leinster, P., 2019b. Using 1st derivative reflectance signatures within a remote sensing framework to identify macroalgae in marine environments. Remote Sensing 11.</w:t>
      </w:r>
      <w:r>
        <w:t xml:space="preserve"> </w:t>
      </w:r>
      <w:hyperlink r:id="rId543">
        <w:r>
          <w:rPr>
            <w:rStyle w:val="Hyperlink"/>
          </w:rPr>
          <w:t xml:space="preserve">https://doi.org/10.3390/rs11060704</w:t>
        </w:r>
      </w:hyperlink>
    </w:p>
    <w:bookmarkEnd w:id="545"/>
    <w:bookmarkStart w:id="546" w:name="ref-mckenzie2020global"/>
    <w:p>
      <w:pPr>
        <w:pStyle w:val="Bibliography"/>
      </w:pPr>
      <w:r>
        <w:t xml:space="preserve">McKenzie, Len J., Nordlund, L.M., Jones, B.L., Cullen-Unsworth, L.C., Roelfsema, C., Unsworth, R.K., 2020a. The global distribution of seagrass meadows. Environmental Research Letters 15, 074041.</w:t>
      </w:r>
    </w:p>
    <w:bookmarkEnd w:id="546"/>
    <w:bookmarkStart w:id="547" w:name="ref-McKenzie2020"/>
    <w:p>
      <w:pPr>
        <w:pStyle w:val="Bibliography"/>
      </w:pPr>
      <w:r>
        <w:t xml:space="preserve">McKenzie, Len J., Nordlund, L.M., Jones, B.L., Cullen-Unsworth, L.C., Roelfsema, C., Unsworth, R.K.F., 2020b.</w:t>
      </w:r>
      <w:r>
        <w:t xml:space="preserve"> </w:t>
      </w:r>
      <w:r>
        <w:t xml:space="preserve">The global distribution of seagrass meadows</w:t>
      </w:r>
      <w:r>
        <w:t xml:space="preserve">. Environmental Research Letters 15.</w:t>
      </w:r>
    </w:p>
    <w:bookmarkEnd w:id="547"/>
    <w:bookmarkStart w:id="548" w:name="ref-mcroy1977production"/>
    <w:p>
      <w:pPr>
        <w:pStyle w:val="Bibliography"/>
      </w:pPr>
      <w:r>
        <w:t xml:space="preserve">McRoy, C.P., McMillan, C., 1977. Production ecology and physiology of seagrasses.</w:t>
      </w:r>
    </w:p>
    <w:bookmarkEnd w:id="548"/>
    <w:bookmarkStart w:id="549" w:name="ref-meleder2003spectrometric"/>
    <w:p>
      <w:pPr>
        <w:pStyle w:val="Bibliography"/>
      </w:pPr>
      <w:r>
        <w:t xml:space="preserve">Méléder, V., Barillé, L., Launeau, P., Carrère, V., Rincé, Y., 2003. Spectrometric constraint in analysis of benthic diatom biomass using monospecific cultures. Remote Sensing of Environment 88, 386–400.</w:t>
      </w:r>
    </w:p>
    <w:bookmarkEnd w:id="549"/>
    <w:bookmarkStart w:id="550"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550"/>
    <w:bookmarkStart w:id="551" w:name="ref-meleder2018microphytobenthos"/>
    <w:p>
      <w:pPr>
        <w:pStyle w:val="Bibliography"/>
      </w:pPr>
      <w:r>
        <w:t xml:space="preserve">Méléder, V., Jesus, B., Barnett, A., Barillé, L., Lavaud, J., 2018. Microphytobenthos primary production estimated by hyperspectral reflectance. PloS one 13, e0197093.</w:t>
      </w:r>
    </w:p>
    <w:bookmarkEnd w:id="551"/>
    <w:bookmarkStart w:id="552" w:name="ref-meleder2003cartographie"/>
    <w:p>
      <w:pPr>
        <w:pStyle w:val="Bibliography"/>
      </w:pPr>
      <w:r>
        <w:t xml:space="preserve">Méléder, Vona, Launeau, P., Barillé, L., Rincé, Y., 2003.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552"/>
    <w:bookmarkStart w:id="554" w:name="ref-Meleder2013"/>
    <w:p>
      <w:pPr>
        <w:pStyle w:val="Bibliography"/>
      </w:pPr>
      <w:r>
        <w:t xml:space="preserve">Méléder, V., Laviale, M., Jesus, B., Mouget, J.L., Lavaud, J., Kazemipour, F., Launeau, P., Barillé, L., 2013a.</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553">
        <w:r>
          <w:rPr>
            <w:rStyle w:val="Hyperlink"/>
          </w:rPr>
          <w:t xml:space="preserve">https://doi.org/10.1016/j.jphotobiol.2013.10.005</w:t>
        </w:r>
      </w:hyperlink>
    </w:p>
    <w:bookmarkEnd w:id="554"/>
    <w:bookmarkStart w:id="555" w:name="ref-meleder2013vivo"/>
    <w:p>
      <w:pPr>
        <w:pStyle w:val="Bibliography"/>
      </w:pPr>
      <w:r>
        <w:t xml:space="preserve">Méléder, V., Laviale, M., Jesus, B., Mouget, J.L., Lavaud, J., Kazemipour, F., Launeau, P., Barillé, L., 2013b. In vivo estimation of pigment composition and optical absorption cross-section by spectroradiometry in four aquatic photosynthetic micro-organisms. Journal of Photochemistry and Photobiology B: Biology 129, 115–124.</w:t>
      </w:r>
    </w:p>
    <w:bookmarkEnd w:id="555"/>
    <w:bookmarkStart w:id="557"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556">
        <w:r>
          <w:rPr>
            <w:rStyle w:val="Hyperlink"/>
          </w:rPr>
          <w:t xml:space="preserve">https://doi.org/10.3390/jmse11020367</w:t>
        </w:r>
      </w:hyperlink>
    </w:p>
    <w:bookmarkEnd w:id="557"/>
    <w:bookmarkStart w:id="558"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558"/>
    <w:bookmarkStart w:id="560"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559">
        <w:r>
          <w:rPr>
            <w:rStyle w:val="Hyperlink"/>
          </w:rPr>
          <w:t xml:space="preserve">https://doi.org/10.1080/17445647.2021.1925170</w:t>
        </w:r>
      </w:hyperlink>
    </w:p>
    <w:bookmarkEnd w:id="560"/>
    <w:bookmarkStart w:id="561"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561"/>
    <w:bookmarkStart w:id="563"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562">
        <w:r>
          <w:rPr>
            <w:rStyle w:val="Hyperlink"/>
          </w:rPr>
          <w:t xml:space="preserve">https://doi.org/10.1111/GCB.14108</w:t>
        </w:r>
      </w:hyperlink>
    </w:p>
    <w:bookmarkEnd w:id="563"/>
    <w:bookmarkStart w:id="564"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564"/>
    <w:bookmarkStart w:id="566"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565">
        <w:r>
          <w:rPr>
            <w:rStyle w:val="Hyperlink"/>
          </w:rPr>
          <w:t xml:space="preserve">https://doi.org/10.1038/s41598-021-83597-z</w:t>
        </w:r>
      </w:hyperlink>
    </w:p>
    <w:bookmarkEnd w:id="566"/>
    <w:bookmarkStart w:id="567" w:name="ref-moreira2022underexplored"/>
    <w:p>
      <w:pPr>
        <w:pStyle w:val="Bibliography"/>
      </w:pPr>
      <w:r>
        <w:t xml:space="preserve">Moreira, A., Cruz, S., Marques, R., Cartaxana, P., 2022. The underexplored potential of green macroalgae in aquaculture. Reviews in Aquaculture 14, 5–26.</w:t>
      </w:r>
    </w:p>
    <w:bookmarkEnd w:id="567"/>
    <w:bookmarkStart w:id="569"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568">
        <w:r>
          <w:rPr>
            <w:rStyle w:val="Hyperlink"/>
          </w:rPr>
          <w:t xml:space="preserve">https://doi.org/10.1017/s0031182002001476</w:t>
        </w:r>
      </w:hyperlink>
    </w:p>
    <w:bookmarkEnd w:id="569"/>
    <w:bookmarkStart w:id="570"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570"/>
    <w:bookmarkStart w:id="571"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571"/>
    <w:bookmarkStart w:id="573" w:name="ref-Muller-Karger2018"/>
    <w:p>
      <w:pPr>
        <w:pStyle w:val="Bibliography"/>
      </w:pPr>
      <w:r>
        <w:t xml:space="preserve">Muller-Karger, Frank 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2018a.</w:t>
      </w:r>
      <w:r>
        <w:t xml:space="preserve"> </w:t>
      </w:r>
      <w:r>
        <w:t xml:space="preserve">Satellite sensor requirements for monitoring essential biodiversity variables of coastal ecosystems</w:t>
      </w:r>
      <w:r>
        <w:t xml:space="preserve">. Ecological Applications 28, 749–760.</w:t>
      </w:r>
      <w:r>
        <w:t xml:space="preserve"> </w:t>
      </w:r>
      <w:hyperlink r:id="rId572">
        <w:r>
          <w:rPr>
            <w:rStyle w:val="Hyperlink"/>
          </w:rPr>
          <w:t xml:space="preserve">https://doi.org/10.1002/eap.1682</w:t>
        </w:r>
      </w:hyperlink>
    </w:p>
    <w:bookmarkEnd w:id="573"/>
    <w:bookmarkStart w:id="574" w:name="ref-muller2018satellite"/>
    <w:p>
      <w:pPr>
        <w:pStyle w:val="Bibliography"/>
      </w:pPr>
      <w:r>
        <w:t xml:space="preserve">Muller-Karger, Frank E., Hestir, E., Ade, C., Turpie, K., Roberts, D.A., Siegel, D., Miller, R.J., Humm, D., Izenberg, N., Keller, M., others, 2018b. Satellite sensor requirements for monitoring essential biodiversity variables of coastal ecosystems. Ecological applications 28, 749–760.</w:t>
      </w:r>
    </w:p>
    <w:bookmarkEnd w:id="574"/>
    <w:bookmarkStart w:id="575" w:name="ref-muller10satellite"/>
    <w:p>
      <w:pPr>
        <w:pStyle w:val="Bibliography"/>
      </w:pPr>
      <w:r>
        <w:t xml:space="preserve">Muller-Karger, F.E., Hestir, E., Ade, C., Turpie, K., Roberts, D., Siegel, D., Miller, R., Humm, D., Izenberg, N., Keller, M., others, 2018. Satellite sensor requirements for monitoring essential biodiversity variables of coastal ecosystems., 2018, 28. DOI: https://doi. org/10.1002/eap 1682, 749–760.</w:t>
      </w:r>
    </w:p>
    <w:bookmarkEnd w:id="575"/>
    <w:bookmarkStart w:id="576" w:name="ref-murray2019global"/>
    <w:p>
      <w:pPr>
        <w:pStyle w:val="Bibliography"/>
      </w:pPr>
      <w:r>
        <w:t xml:space="preserve">Murray, Nicholas J., Phinn, S.R., DeWitt, M., Ferrari, R., Johnston, R., Lyons, M.B., Clinton, N., Thau, D., Fuller, R.A., 2019a. The global distribution and trajectory of tidal flats. Nature 565, 222–225.</w:t>
      </w:r>
    </w:p>
    <w:bookmarkEnd w:id="576"/>
    <w:bookmarkStart w:id="578" w:name="ref-Murray2019"/>
    <w:p>
      <w:pPr>
        <w:pStyle w:val="Bibliography"/>
      </w:pPr>
      <w:r>
        <w:t xml:space="preserve">Murray, Nicholas J., Phinn, S.R., DeWitt, M., Ferrari, R., Johnston, R., Lyons, M.B., Clinton, N., Thau, D., Fuller, R.A., 2019b.</w:t>
      </w:r>
      <w:r>
        <w:t xml:space="preserve"> </w:t>
      </w:r>
      <w:r>
        <w:t xml:space="preserve">The global distribution and trajectory of tidal flats</w:t>
      </w:r>
      <w:r>
        <w:t xml:space="preserve">. Nature 565, 222–225.</w:t>
      </w:r>
      <w:r>
        <w:t xml:space="preserve"> </w:t>
      </w:r>
      <w:hyperlink r:id="rId577">
        <w:r>
          <w:rPr>
            <w:rStyle w:val="Hyperlink"/>
          </w:rPr>
          <w:t xml:space="preserve">https://doi.org/10.1038/s41586-018-0805-8</w:t>
        </w:r>
      </w:hyperlink>
    </w:p>
    <w:bookmarkEnd w:id="578"/>
    <w:bookmarkStart w:id="579"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579"/>
    <w:bookmarkStart w:id="580" w:name="ref-nguyen2021"/>
    <w:p>
      <w:pPr>
        <w:pStyle w:val="Bibliography"/>
      </w:pPr>
      <w:r>
        <w:t xml:space="preserve">Nguyen, H.M., Ralph, P.J., Marı́n-Guirao, L., Pernice, M., Procaccini, G., 2021. Seagrasses in an era of ocean warming: A review. Biological Reviews 96, 2009–2030.</w:t>
      </w:r>
    </w:p>
    <w:bookmarkEnd w:id="580"/>
    <w:bookmarkStart w:id="581"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581"/>
    <w:bookmarkStart w:id="583" w:name="ref-Nijland2019"/>
    <w:p>
      <w:pPr>
        <w:pStyle w:val="Bibliography"/>
      </w:pPr>
      <w:r>
        <w:t xml:space="preserve">Nijland, W., Reshitnyk, L., Rubidge, E., 2019a.</w:t>
      </w:r>
      <w:r>
        <w:t xml:space="preserve"> </w:t>
      </w:r>
      <w:r>
        <w:t xml:space="preserve">Satellite remote sensing of canopy-forming kelp on a complex coastline: A novel procedure using the Landsat image archive</w:t>
      </w:r>
      <w:r>
        <w:t xml:space="preserve">. Remote Sensing of Environment 220, 41–50.</w:t>
      </w:r>
      <w:r>
        <w:t xml:space="preserve"> </w:t>
      </w:r>
      <w:hyperlink r:id="rId582">
        <w:r>
          <w:rPr>
            <w:rStyle w:val="Hyperlink"/>
          </w:rPr>
          <w:t xml:space="preserve">https://doi.org/10.1016/j.rse.2018.10.032</w:t>
        </w:r>
      </w:hyperlink>
    </w:p>
    <w:bookmarkEnd w:id="583"/>
    <w:bookmarkStart w:id="584" w:name="ref-nijland2019"/>
    <w:p>
      <w:pPr>
        <w:pStyle w:val="Bibliography"/>
      </w:pPr>
      <w:r>
        <w:t xml:space="preserve">Nijland, W., Reshitnyk, L., Rubidge, E., 2019b. Satellite remote sensing of canopy-forming kelp on a complex coastline: A novel procedure using the landsat image archive. Remote Sensing of Environment 220, 41–50.</w:t>
      </w:r>
    </w:p>
    <w:bookmarkEnd w:id="584"/>
    <w:bookmarkStart w:id="585"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585"/>
    <w:bookmarkStart w:id="586" w:name="ref-n1999primary"/>
    <w:p>
      <w:pPr>
        <w:pStyle w:val="Bibliography"/>
      </w:pPr>
      <w:r>
        <w:t xml:space="preserve">N-Uptake, A., 1999. Primary production by phytoplankton and microphytobenthos in estuaries. Estuaries 29, 93.</w:t>
      </w:r>
    </w:p>
    <w:bookmarkEnd w:id="586"/>
    <w:bookmarkStart w:id="587"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587"/>
    <w:bookmarkStart w:id="588" w:name="ref-nyberg2007introduced"/>
    <w:p>
      <w:pPr>
        <w:pStyle w:val="Bibliography"/>
      </w:pPr>
      <w:r>
        <w:t xml:space="preserve">Nyberg, C.D., 2007. Introduced marine macroalgae and habitat modifiers: Their ecological role and significant attributes. Department of Marine Ecology.</w:t>
      </w:r>
    </w:p>
    <w:bookmarkEnd w:id="588"/>
    <w:bookmarkStart w:id="589" w:name="ref-nyberg2009flora"/>
    <w:p>
      <w:pPr>
        <w:pStyle w:val="Bibliography"/>
      </w:pPr>
      <w:r>
        <w:t xml:space="preserve">Nyberg, C.D., Thomsen, M.S., Wallentinus, I., 2009. Flora and fauna associated with the introduced red alga gracilaria vermiculophylla. European Journal of Phycology 44, 395–403.</w:t>
      </w:r>
    </w:p>
    <w:bookmarkEnd w:id="589"/>
    <w:bookmarkStart w:id="590" w:name="ref-oh2017use"/>
    <w:p>
      <w:pPr>
        <w:pStyle w:val="Bibliography"/>
      </w:pPr>
      <w:r>
        <w:t xml:space="preserve">Oh, J., Kim, D., Lee, H., 2017. Use of a drone for mapping and time series image acquisition of tidal zones. Journal of the Korean Institute of Intelligent Systems 27, 119–125.</w:t>
      </w:r>
    </w:p>
    <w:bookmarkEnd w:id="590"/>
    <w:bookmarkStart w:id="591"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591"/>
    <w:bookmarkStart w:id="593" w:name="ref-Simon2024ShinyApp"/>
    <w:p>
      <w:pPr>
        <w:pStyle w:val="Bibliography"/>
      </w:pPr>
      <w:r>
        <w:t xml:space="preserve">Oiry, S., 2024.</w:t>
      </w:r>
      <w:r>
        <w:t xml:space="preserve"> </w:t>
      </w:r>
      <w:hyperlink r:id="rId592">
        <w:r>
          <w:rPr>
            <w:rStyle w:val="Hyperlink"/>
          </w:rPr>
          <w:t xml:space="preserve">Shiny app for validation dataset building</w:t>
        </w:r>
      </w:hyperlink>
      <w:r>
        <w:t xml:space="preserve">.</w:t>
      </w:r>
    </w:p>
    <w:bookmarkEnd w:id="593"/>
    <w:bookmarkStart w:id="595" w:name="ref-Oiry2021"/>
    <w:p>
      <w:pPr>
        <w:pStyle w:val="Bibliography"/>
      </w:pPr>
      <w:r>
        <w:t xml:space="preserve">Oiry, S., Barillé, L., 2021b.</w:t>
      </w:r>
      <w:r>
        <w:t xml:space="preserve"> </w:t>
      </w:r>
      <w:r>
        <w:t xml:space="preserve">Using sentinel-2 satellite imagery to develop microphytobenthos-based water quality indices in estuaries</w:t>
      </w:r>
      <w:r>
        <w:t xml:space="preserve">. Ecological Indicators 121.</w:t>
      </w:r>
      <w:r>
        <w:t xml:space="preserve"> </w:t>
      </w:r>
      <w:hyperlink r:id="rId594">
        <w:r>
          <w:rPr>
            <w:rStyle w:val="Hyperlink"/>
          </w:rPr>
          <w:t xml:space="preserve">https://doi.org/10.1016/j.ecolind.2020.107184</w:t>
        </w:r>
      </w:hyperlink>
    </w:p>
    <w:bookmarkEnd w:id="595"/>
    <w:bookmarkStart w:id="596" w:name="ref-oiry2021using"/>
    <w:p>
      <w:pPr>
        <w:pStyle w:val="Bibliography"/>
      </w:pPr>
      <w:r>
        <w:t xml:space="preserve">Oiry, S., Barillé, L., 2021a. Using sentinel-2 satellite imagery to develop microphytobenthos-based water quality indices in estuaries. Ecological Indicators 121, 107184.</w:t>
      </w:r>
    </w:p>
    <w:bookmarkEnd w:id="596"/>
    <w:bookmarkStart w:id="597" w:name="ref-oiry2024discriminating"/>
    <w:p>
      <w:pPr>
        <w:pStyle w:val="Bibliography"/>
      </w:pPr>
      <w:r>
        <w:t xml:space="preserve">Oiry, S., Davies, B.F.R., Rosa, P., Zoffoli, M.L., Brunier, G., Sousa, A.I., Gernez, P., Barillé, L., 2024a. Discriminating seagrasses from green macroalgae in european intertidal areas using high resolution multispectral drone imagery. Available at SSRN 4819378.</w:t>
      </w:r>
    </w:p>
    <w:bookmarkEnd w:id="597"/>
    <w:bookmarkStart w:id="599" w:name="ref-rs16234383"/>
    <w:p>
      <w:pPr>
        <w:pStyle w:val="Bibliography"/>
      </w:pPr>
      <w:r>
        <w:t xml:space="preserve">Oiry, S., Davies, B.F.R., Sousa, A.I., Rosa, P., Zoffoli, M.L., Brunier, G., Gernez, P., Barillé, L., 2024b. Discriminating seagrasses from green macroalgae in european intertidal areas using high-resolution multispectral drone imagery. Remote Sensing 16.</w:t>
      </w:r>
      <w:r>
        <w:t xml:space="preserve"> </w:t>
      </w:r>
      <w:hyperlink r:id="rId598">
        <w:r>
          <w:rPr>
            <w:rStyle w:val="Hyperlink"/>
          </w:rPr>
          <w:t xml:space="preserve">https://doi.org/10.3390/rs16234383</w:t>
        </w:r>
      </w:hyperlink>
    </w:p>
    <w:bookmarkEnd w:id="599"/>
    <w:bookmarkStart w:id="601"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600">
        <w:r>
          <w:rPr>
            <w:rStyle w:val="Hyperlink"/>
          </w:rPr>
          <w:t xml:space="preserve">Vegan: Community ecology package</w:t>
        </w:r>
      </w:hyperlink>
      <w:r>
        <w:t xml:space="preserve">.</w:t>
      </w:r>
    </w:p>
    <w:bookmarkEnd w:id="601"/>
    <w:bookmarkStart w:id="603" w:name="ref-Olmedo-Masat2020"/>
    <w:p>
      <w:pPr>
        <w:pStyle w:val="Bibliography"/>
      </w:pPr>
      <w:r>
        <w:t xml:space="preserve">Olmedo-Masat, O.Magalí, Paula Raffo, M., Rodríguez-Pérez, D., Arijón, M., Sánchez-Carnero, N., 2020.</w:t>
      </w:r>
      <w:r>
        <w:t xml:space="preserve"> </w:t>
      </w:r>
      <w:r>
        <w:t xml:space="preserve">How far can we classify macroalgae remotely? An example using a new spectral library of species from the south west atlantic (argentine patagonia)</w:t>
      </w:r>
      <w:r>
        <w:t xml:space="preserve">. Remote Sensing 12, 1–33.</w:t>
      </w:r>
      <w:r>
        <w:t xml:space="preserve"> </w:t>
      </w:r>
      <w:hyperlink r:id="rId602">
        <w:r>
          <w:rPr>
            <w:rStyle w:val="Hyperlink"/>
          </w:rPr>
          <w:t xml:space="preserve">https://doi.org/10.3390/rs12233870</w:t>
        </w:r>
      </w:hyperlink>
    </w:p>
    <w:bookmarkEnd w:id="603"/>
    <w:bookmarkStart w:id="604" w:name="ref-olmedo2020far"/>
    <w:p>
      <w:pPr>
        <w:pStyle w:val="Bibliography"/>
      </w:pPr>
      <w:r>
        <w:t xml:space="preserve">Olmedo-Masat, O.Magalı́, Raffo, M.P., Rodrı́guez-Pérez, D., Arijón, M., Sánchez-Carnero, N., 2020. How far can we classify macroalgae remotely? An example using a new spectral library of species from the south west atlantic (argentine patagonia). Remote Sensing 12, 3870.</w:t>
      </w:r>
    </w:p>
    <w:bookmarkEnd w:id="604"/>
    <w:bookmarkStart w:id="605"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605"/>
    <w:bookmarkStart w:id="606" w:name="ref-orth2006global"/>
    <w:p>
      <w:pPr>
        <w:pStyle w:val="Bibliography"/>
      </w:pPr>
      <w:r>
        <w:t xml:space="preserve">Orth, R.J., Carruthers, T.J., Dennison, W.C., Duarte, C.M., Fourqurean, J.W., Heck, K.L., Hughes, A.R., Kendrick, G.A., Kenworthy, W.J., Olyarnik, S., others, 2006a. A global crisis for seagrass ecosystems. Bioscience 56, 987–996.</w:t>
      </w:r>
    </w:p>
    <w:bookmarkEnd w:id="606"/>
    <w:bookmarkStart w:id="607" w:name="ref-orth2006"/>
    <w:p>
      <w:pPr>
        <w:pStyle w:val="Bibliography"/>
      </w:pPr>
      <w:r>
        <w:t xml:space="preserve">Orth, R.J., Carruthers, T.J., Dennison, W.C., Duarte, C.M., Fourqurean, J.W., Heck, K.L., Hughes, A.R., Kendrick, G.A., Kenworthy, W.J., Olyarnik, S., others, 2006b. A global crisis for seagrass ecosystems. Bioscience 56, 987–996.</w:t>
      </w:r>
    </w:p>
    <w:bookmarkEnd w:id="607"/>
    <w:bookmarkStart w:id="608"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608"/>
    <w:bookmarkStart w:id="610"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609">
        <w:r>
          <w:rPr>
            <w:rStyle w:val="Hyperlink"/>
          </w:rPr>
          <w:t xml:space="preserve">https://doi.org/10.5281/zenodo.3463051</w:t>
        </w:r>
      </w:hyperlink>
    </w:p>
    <w:bookmarkEnd w:id="610"/>
    <w:bookmarkStart w:id="612" w:name="ref-WoRMS303450"/>
    <w:p>
      <w:pPr>
        <w:pStyle w:val="Bibliography"/>
      </w:pPr>
      <w:r>
        <w:t xml:space="preserve">Papenfuss, G.F., 1967.</w:t>
      </w:r>
      <w:r>
        <w:t xml:space="preserve"> </w:t>
      </w:r>
      <w:hyperlink r:id="rId611">
        <w:r>
          <w:rPr>
            <w:rStyle w:val="Hyperlink"/>
          </w:rPr>
          <w:t xml:space="preserve">Notes on algal nomenclature - v. Various chlorophyceae and rhodophyceae</w:t>
        </w:r>
      </w:hyperlink>
      <w:r>
        <w:t xml:space="preserve">. Phykos 5, 95–105.</w:t>
      </w:r>
    </w:p>
    <w:bookmarkEnd w:id="612"/>
    <w:bookmarkStart w:id="613"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 R</w:t>
      </w:r>
      <w:r>
        <w:t xml:space="preserve">é</w:t>
      </w:r>
      <w:r>
        <w:t xml:space="preserve">cup</w:t>
      </w:r>
      <w:r>
        <w:t xml:space="preserve">é</w:t>
      </w:r>
      <w:r>
        <w:t xml:space="preserve">r</w:t>
      </w:r>
      <w:r>
        <w:t xml:space="preserve">é</w:t>
      </w:r>
      <w:r>
        <w:t xml:space="preserve"> </w:t>
      </w:r>
      <w:r>
        <w:t xml:space="preserve">de: http://eur-lex. europa. eu/legal-content/FR/TXT/PDF.</w:t>
      </w:r>
    </w:p>
    <w:bookmarkEnd w:id="613"/>
    <w:bookmarkStart w:id="614"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614"/>
    <w:bookmarkStart w:id="615"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615"/>
    <w:bookmarkStart w:id="616"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616"/>
    <w:bookmarkStart w:id="617" w:name="ref-pereira2013essential"/>
    <w:p>
      <w:pPr>
        <w:pStyle w:val="Bibliography"/>
      </w:pPr>
      <w:r>
        <w:t xml:space="preserve">Pereira, H.M., Ferrier, S., Walters, M., Geller, G.N., Jongman, R.H., Scholes, R.J., Bruford, M.W., Brummitt, N., Butchart, S.H., Cardoso, A., others, 2013a. Essential biodiversity variables. Science 339, 277–278.</w:t>
      </w:r>
    </w:p>
    <w:bookmarkEnd w:id="617"/>
    <w:bookmarkStart w:id="618" w:name="ref-Pereira2013"/>
    <w:p>
      <w:pPr>
        <w:pStyle w:val="Bibliography"/>
      </w:pPr>
      <w:r>
        <w:t xml:space="preserve">Pereira, H.M., Ferrier, S., Walters, M., Geller, G.N., Jongman, R.H., Scholes, R.J., Bruford, M.W., Brummitt, N., Butchart, S.H., Cardoso, A., others, 2013b. Essential biodiversity variables. Science 339, 277–278.</w:t>
      </w:r>
    </w:p>
    <w:bookmarkEnd w:id="618"/>
    <w:bookmarkStart w:id="619"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619"/>
    <w:bookmarkStart w:id="620"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620"/>
    <w:bookmarkStart w:id="621"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621"/>
    <w:bookmarkStart w:id="623" w:name="ref-QGIS_software"/>
    <w:p>
      <w:pPr>
        <w:pStyle w:val="Bibliography"/>
      </w:pPr>
      <w:r>
        <w:t xml:space="preserve">QGIS Development Team, 2024.</w:t>
      </w:r>
      <w:r>
        <w:t xml:space="preserve"> </w:t>
      </w:r>
      <w:hyperlink r:id="rId622">
        <w:r>
          <w:rPr>
            <w:rStyle w:val="Hyperlink"/>
          </w:rPr>
          <w:t xml:space="preserve">QGIS geographic information system</w:t>
        </w:r>
      </w:hyperlink>
      <w:r>
        <w:t xml:space="preserve">. QGIS Association.</w:t>
      </w:r>
    </w:p>
    <w:bookmarkEnd w:id="623"/>
    <w:bookmarkStart w:id="625" w:name="ref-R-base"/>
    <w:p>
      <w:pPr>
        <w:pStyle w:val="Bibliography"/>
      </w:pPr>
      <w:r>
        <w:t xml:space="preserve">R Core Team, 2023.</w:t>
      </w:r>
      <w:r>
        <w:t xml:space="preserve"> </w:t>
      </w:r>
      <w:hyperlink r:id="rId624">
        <w:r>
          <w:rPr>
            <w:rStyle w:val="Hyperlink"/>
          </w:rPr>
          <w:t xml:space="preserve">R: A language and environment for statistical computing</w:t>
        </w:r>
      </w:hyperlink>
      <w:r>
        <w:t xml:space="preserve">. R Foundation for Statistical Computing, Vienna, Austria.</w:t>
      </w:r>
    </w:p>
    <w:bookmarkEnd w:id="625"/>
    <w:bookmarkStart w:id="626"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626"/>
    <w:bookmarkStart w:id="627"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627"/>
    <w:bookmarkStart w:id="628" w:name="ref-rasheed2011long"/>
    <w:p>
      <w:pPr>
        <w:pStyle w:val="Bibliography"/>
      </w:pPr>
      <w:r>
        <w:t xml:space="preserve">Rasheed, M.A., Unsworth, R.K., 2011. Long-term climate-associated dynamics of a tropical seagrass meadow: Implications for the future. Marine Ecology Progress Series 422, 93–103.</w:t>
      </w:r>
    </w:p>
    <w:bookmarkEnd w:id="628"/>
    <w:bookmarkStart w:id="629"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629"/>
    <w:bookmarkStart w:id="630"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630"/>
    <w:bookmarkStart w:id="631"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631"/>
    <w:bookmarkStart w:id="633" w:name="ref-Roca2022"/>
    <w:p>
      <w:pPr>
        <w:pStyle w:val="Bibliography"/>
      </w:pPr>
      <w:r>
        <w:t xml:space="preserve">Roca, M., Dunbar, M.B., Román, A., Caballero, I., Zoffoli, M.L., Gernez, P., Navarro, G., 2022a. Monitoring the marine invasive alien species rugulopteryx okamurae using unmanned aerial vehicles and satellites. Frontiers in Marine Science 9.</w:t>
      </w:r>
      <w:r>
        <w:t xml:space="preserve"> </w:t>
      </w:r>
      <w:hyperlink r:id="rId632">
        <w:r>
          <w:rPr>
            <w:rStyle w:val="Hyperlink"/>
          </w:rPr>
          <w:t xml:space="preserve">https://doi.org/10.3389/fmars.2022.1004012</w:t>
        </w:r>
      </w:hyperlink>
    </w:p>
    <w:bookmarkEnd w:id="633"/>
    <w:bookmarkStart w:id="634" w:name="ref-roca2022monitoring"/>
    <w:p>
      <w:pPr>
        <w:pStyle w:val="Bibliography"/>
      </w:pPr>
      <w:r>
        <w:t xml:space="preserve">Roca, M., Dunbar, M.B., Román, A., Caballero, I., Zoffoli, M.L., Gernez, P., Navarro, G., 2022b. Monitoring the marine invasive alien species rugulopteryx okamurae using unmanned aerial vehicles and satellites. Frontiers in Marine Science 9, 1004012.</w:t>
      </w:r>
    </w:p>
    <w:bookmarkEnd w:id="634"/>
    <w:bookmarkStart w:id="635"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635"/>
    <w:bookmarkStart w:id="636" w:name="ref-Roman2021"/>
    <w:p>
      <w:pPr>
        <w:pStyle w:val="Bibliography"/>
      </w:pPr>
      <w:r>
        <w:t xml:space="preserve">Román, A., Tovar-Sánchez, A., Olivé, I., Navarro, G., 2021a. Using a UAV-mounted multispectral camera for the monitoring of marine macrophytes. Frontiers in Marine Science 1225.</w:t>
      </w:r>
    </w:p>
    <w:bookmarkEnd w:id="636"/>
    <w:bookmarkStart w:id="637" w:name="ref-roman2021using"/>
    <w:p>
      <w:pPr>
        <w:pStyle w:val="Bibliography"/>
      </w:pPr>
      <w:r>
        <w:t xml:space="preserve">Román, A., Tovar-Sánchez, A., Olivé, I., Navarro, G., 2021b. Using a UAV-mounted multispectral camera for the monitoring of marine macrophytes. Frontiers in Marine Science 8, 722698.</w:t>
      </w:r>
    </w:p>
    <w:bookmarkEnd w:id="637"/>
    <w:bookmarkStart w:id="638" w:name="ref-romero2008sintering"/>
    <w:p>
      <w:pPr>
        <w:pStyle w:val="Bibliography"/>
      </w:pPr>
      <w:r>
        <w:t xml:space="preserve">Romero, M., Andrés, A., Alonso, R., Viguri, J., Rincón, J.M., 2008. Sintering behaviour of ceramic bodies from contaminated marine sediments. Ceramics International 34, 1917–1924.</w:t>
      </w:r>
    </w:p>
    <w:bookmarkEnd w:id="638"/>
    <w:bookmarkStart w:id="639" w:name="ref-rossiter2020uav"/>
    <w:p>
      <w:pPr>
        <w:pStyle w:val="Bibliography"/>
      </w:pPr>
      <w:r>
        <w:t xml:space="preserve">Rossiter, T., Furey, T., McCarthy, T., Stengel, D.B., 2020. UAV-mounted hyperspectral mapping of intertidal macroalgae. Estuarine, Coastal and Shelf Science 242, 106789.</w:t>
      </w:r>
    </w:p>
    <w:bookmarkEnd w:id="639"/>
    <w:bookmarkStart w:id="640" w:name="ref-rueness2005life"/>
    <w:p>
      <w:pPr>
        <w:pStyle w:val="Bibliography"/>
      </w:pPr>
      <w:r>
        <w:t xml:space="preserve">Rueness, J., 2005. Life history and molecular sequences of gracilaria vermiculophylla (gracilariales, rhodophyta), a new introduction to european waters. Phycologia 44, 120–128.</w:t>
      </w:r>
    </w:p>
    <w:bookmarkEnd w:id="640"/>
    <w:bookmarkStart w:id="641"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641"/>
    <w:bookmarkStart w:id="642" w:name="ref-Sage2020"/>
    <w:p>
      <w:pPr>
        <w:pStyle w:val="Bibliography"/>
      </w:pPr>
      <w:r>
        <w:t xml:space="preserve">Sage, R.F., 2020. Global change biology: A primer. Global Change Biology 26, 3–30.</w:t>
      </w:r>
    </w:p>
    <w:bookmarkEnd w:id="642"/>
    <w:bookmarkStart w:id="643"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643"/>
    <w:bookmarkStart w:id="644"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644"/>
    <w:bookmarkStart w:id="645"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645"/>
    <w:bookmarkStart w:id="646" w:name="ref-savitzky1964smoothing"/>
    <w:p>
      <w:pPr>
        <w:pStyle w:val="Bibliography"/>
      </w:pPr>
      <w:r>
        <w:t xml:space="preserve">Savitzky, A., Golay, M.J., 1964. Smoothing and differentiation of data by simplified least squares procedures. Analytical chemistry 36, 1627–1639.</w:t>
      </w:r>
    </w:p>
    <w:bookmarkEnd w:id="646"/>
    <w:bookmarkStart w:id="648"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647">
        <w:r>
          <w:rPr>
            <w:rStyle w:val="Hyperlink"/>
          </w:rPr>
          <w:t xml:space="preserve">https://doi.org/10.1016/j.ecoser.2022.101414</w:t>
        </w:r>
      </w:hyperlink>
    </w:p>
    <w:bookmarkEnd w:id="648"/>
    <w:bookmarkStart w:id="650"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649">
        <w:r>
          <w:rPr>
            <w:rStyle w:val="Hyperlink"/>
          </w:rPr>
          <w:t xml:space="preserve">https://doi.org/10.3389/fevo.2021.767548</w:t>
        </w:r>
      </w:hyperlink>
    </w:p>
    <w:bookmarkEnd w:id="650"/>
    <w:bookmarkStart w:id="651" w:name="ref-Schmidt2003"/>
    <w:p>
      <w:pPr>
        <w:pStyle w:val="Bibliography"/>
      </w:pPr>
      <w:r>
        <w:t xml:space="preserve">Schmidt, K., Skidmore, A., 2003. Spectral discrimination of vegetation types in a coastal wetland. Remote sensing of Environment 85, 92–108.</w:t>
      </w:r>
    </w:p>
    <w:bookmarkEnd w:id="651"/>
    <w:bookmarkStart w:id="652" w:name="ref-schneider2012nih"/>
    <w:p>
      <w:pPr>
        <w:pStyle w:val="Bibliography"/>
      </w:pPr>
      <w:r>
        <w:t xml:space="preserve">Schneider, C.A., Rasband, W.S., Eliceiri, K.W., 2012. NIH image to ImageJ: 25 years of image analysis. Nature methods 9, 671–675.</w:t>
      </w:r>
    </w:p>
    <w:bookmarkEnd w:id="652"/>
    <w:bookmarkStart w:id="653" w:name="ref-schreyers2021spotting"/>
    <w:p>
      <w:pPr>
        <w:pStyle w:val="Bibliography"/>
      </w:pPr>
      <w:r>
        <w:t xml:space="preserve">Schreyers, L., Emmerik, T. van, Biermann, L., Le Lay, Y.-F., 2021a. Spotting green tides over brittany from space: Three decades of monitoring with landsat imagery. Remote Sensing 13, 1408.</w:t>
      </w:r>
    </w:p>
    <w:bookmarkEnd w:id="653"/>
    <w:bookmarkStart w:id="655" w:name="ref-rs13081408"/>
    <w:p>
      <w:pPr>
        <w:pStyle w:val="Bibliography"/>
      </w:pPr>
      <w:r>
        <w:t xml:space="preserve">Schreyers, L., Emmerik, T. van, Biermann, L., Le Lay, Y.-F., 2021b. Spotting green tides over brittany from space: Three decades of monitoring with landsat imagery. Remote Sensing 13.</w:t>
      </w:r>
      <w:r>
        <w:t xml:space="preserve"> </w:t>
      </w:r>
      <w:hyperlink r:id="rId654">
        <w:r>
          <w:rPr>
            <w:rStyle w:val="Hyperlink"/>
          </w:rPr>
          <w:t xml:space="preserve">https://doi.org/10.3390/rs13081408</w:t>
        </w:r>
      </w:hyperlink>
    </w:p>
    <w:bookmarkEnd w:id="655"/>
    <w:bookmarkStart w:id="657"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656">
        <w:r>
          <w:rPr>
            <w:rStyle w:val="Hyperlink"/>
          </w:rPr>
          <w:t xml:space="preserve">https://doi.org/10.1016/j.marenvres.2021.105475</w:t>
        </w:r>
      </w:hyperlink>
    </w:p>
    <w:bookmarkEnd w:id="657"/>
    <w:bookmarkStart w:id="658"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658"/>
    <w:bookmarkStart w:id="659"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659"/>
    <w:bookmarkStart w:id="661" w:name="ref-shom"/>
    <w:p>
      <w:pPr>
        <w:pStyle w:val="Bibliography"/>
      </w:pPr>
      <w:r>
        <w:t xml:space="preserve">SHOM, 2024.</w:t>
      </w:r>
      <w:r>
        <w:t xml:space="preserve"> </w:t>
      </w:r>
      <w:hyperlink r:id="rId660">
        <w:r>
          <w:rPr>
            <w:rStyle w:val="Hyperlink"/>
          </w:rPr>
          <w:t xml:space="preserve">Service hydrographique et océanographique de la marine (SHOM)</w:t>
        </w:r>
      </w:hyperlink>
      <w:r>
        <w:t xml:space="preserve">.</w:t>
      </w:r>
    </w:p>
    <w:bookmarkEnd w:id="661"/>
    <w:bookmarkStart w:id="663" w:name="Xbef41143b4d4042e58f11cfc27e216202646012"/>
    <w:p>
      <w:pPr>
        <w:pStyle w:val="Bibliography"/>
      </w:pPr>
      <w:r>
        <w:t xml:space="preserve">SHOM, 2021.</w:t>
      </w:r>
      <w:r>
        <w:t xml:space="preserve"> </w:t>
      </w:r>
      <w:hyperlink r:id="rId662">
        <w:r>
          <w:rPr>
            <w:rStyle w:val="Hyperlink"/>
          </w:rPr>
          <w:t xml:space="preserve">Service hydrographique et océanographique de la marine ; bathymétrie Litto3D® bretagne 2018-2021</w:t>
        </w:r>
      </w:hyperlink>
      <w:r>
        <w:t xml:space="preserve">.</w:t>
      </w:r>
    </w:p>
    <w:bookmarkEnd w:id="663"/>
    <w:bookmarkStart w:id="664" w:name="ref-simberloff2021maintenance"/>
    <w:p>
      <w:pPr>
        <w:pStyle w:val="Bibliography"/>
      </w:pPr>
      <w:r>
        <w:t xml:space="preserve">Simberloff, D., 2021. Maintenance management and eradication of established aquatic invaders. Hydrobiologia 848, 2399–2420.</w:t>
      </w:r>
    </w:p>
    <w:bookmarkEnd w:id="664"/>
    <w:bookmarkStart w:id="665"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665"/>
    <w:bookmarkStart w:id="667" w:name="ref-Slaton2001"/>
    <w:p>
      <w:pPr>
        <w:pStyle w:val="Bibliography"/>
      </w:pPr>
      <w:r>
        <w:t xml:space="preserve">Slaton, M.R., Raymond Hunt Jr., E., Smith, W.K., 2001. Estimating near-infrared leaf reflectance from leaf structural characteristics. American Journal of Botany 88, 278–284. https://doi.org/</w:t>
      </w:r>
      <w:hyperlink r:id="rId666">
        <w:r>
          <w:rPr>
            <w:rStyle w:val="Hyperlink"/>
          </w:rPr>
          <w:t xml:space="preserve">https://doi.org/10.2307/2657019</w:t>
        </w:r>
      </w:hyperlink>
    </w:p>
    <w:bookmarkEnd w:id="667"/>
    <w:bookmarkStart w:id="668"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668"/>
    <w:bookmarkStart w:id="669"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669"/>
    <w:bookmarkStart w:id="670"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670"/>
    <w:bookmarkStart w:id="671"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671"/>
    <w:bookmarkStart w:id="672" w:name="ref-steinmetz2011atmospheric"/>
    <w:p>
      <w:pPr>
        <w:pStyle w:val="Bibliography"/>
      </w:pPr>
      <w:r>
        <w:t xml:space="preserve">Steinmetz, F., Deschamps, P.-Y., Ramon, D., 2011. Atmospheric correction in presence of sun glint: Application to MERIS. Optics express 19, 9783–9800.</w:t>
      </w:r>
    </w:p>
    <w:bookmarkEnd w:id="672"/>
    <w:bookmarkStart w:id="673"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673"/>
    <w:bookmarkStart w:id="674"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674"/>
    <w:bookmarkStart w:id="675"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675"/>
    <w:bookmarkStart w:id="676"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676"/>
    <w:bookmarkStart w:id="677"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677"/>
    <w:bookmarkStart w:id="679"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678">
        <w:r>
          <w:rPr>
            <w:rStyle w:val="Hyperlink"/>
          </w:rPr>
          <w:t xml:space="preserve">https://doi.org/10.1007/s11356-011-0479-3</w:t>
        </w:r>
      </w:hyperlink>
    </w:p>
    <w:bookmarkEnd w:id="679"/>
    <w:bookmarkStart w:id="680"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680"/>
    <w:bookmarkStart w:id="681"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681"/>
    <w:bookmarkStart w:id="682"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682"/>
    <w:bookmarkStart w:id="683"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683"/>
    <w:bookmarkStart w:id="684"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684"/>
    <w:bookmarkStart w:id="686" w:name="ref-Traganos2018"/>
    <w:p>
      <w:pPr>
        <w:pStyle w:val="Bibliography"/>
      </w:pPr>
      <w:r>
        <w:t xml:space="preserve">Traganos, D., Reinartz, P., 2018. Mapping mediterranean seagrasses with sentinel-2 imagery. Marine Pollution Bulletin 134, 197–209.</w:t>
      </w:r>
      <w:r>
        <w:t xml:space="preserve"> </w:t>
      </w:r>
      <w:hyperlink r:id="rId685">
        <w:r>
          <w:rPr>
            <w:rStyle w:val="Hyperlink"/>
          </w:rPr>
          <w:t xml:space="preserve">https://doi.org/10.1016/j.marpolbul.2017.06.075</w:t>
        </w:r>
      </w:hyperlink>
    </w:p>
    <w:bookmarkEnd w:id="686"/>
    <w:bookmarkStart w:id="687"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687"/>
    <w:bookmarkStart w:id="688"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688"/>
    <w:bookmarkStart w:id="689" w:name="ref-Unsworth2022"/>
    <w:p>
      <w:pPr>
        <w:pStyle w:val="Bibliography"/>
      </w:pPr>
      <w:r>
        <w:t xml:space="preserve">Unsworth, R.K., Cullen-Unsworth, L.C., Jones, B.L., Lilley, R.J., 2022a. The planetary role of seagrass conservation. Science 377, 609–613.</w:t>
      </w:r>
    </w:p>
    <w:bookmarkEnd w:id="689"/>
    <w:bookmarkStart w:id="690" w:name="ref-unsworth2022"/>
    <w:p>
      <w:pPr>
        <w:pStyle w:val="Bibliography"/>
      </w:pPr>
      <w:r>
        <w:t xml:space="preserve">Unsworth, R.K., Cullen-Unsworth, L.C., Jones, B.L., Lilley, R.J., 2022b. The planetary role of seagrass conservation. Science 377, 609–613.</w:t>
      </w:r>
    </w:p>
    <w:bookmarkEnd w:id="690"/>
    <w:bookmarkStart w:id="692" w:name="ref-Unsworth2019"/>
    <w:p>
      <w:pPr>
        <w:pStyle w:val="Bibliography"/>
      </w:pPr>
      <w:r>
        <w:t xml:space="preserve">Unsworth, R.K.F., McKenzie, L.J., Collier, C.J., Cullen-Unsworth, L.C., Duarte, C.M., Eklöf, J.S., Jarvis, J.C., Jones, B.L., Nordlund, L.M., 2019a.</w:t>
      </w:r>
      <w:r>
        <w:t xml:space="preserve"> </w:t>
      </w:r>
      <w:r>
        <w:t xml:space="preserve">Global challenges for seagrass conservation</w:t>
      </w:r>
      <w:r>
        <w:t xml:space="preserve">. Ambio 48, 801–815.</w:t>
      </w:r>
      <w:r>
        <w:t xml:space="preserve"> </w:t>
      </w:r>
      <w:hyperlink r:id="rId691">
        <w:r>
          <w:rPr>
            <w:rStyle w:val="Hyperlink"/>
          </w:rPr>
          <w:t xml:space="preserve">https://doi.org/10.1007/s13280-018-1115-y</w:t>
        </w:r>
      </w:hyperlink>
    </w:p>
    <w:bookmarkEnd w:id="692"/>
    <w:bookmarkStart w:id="694" w:name="ref-Unsworth2019a"/>
    <w:p>
      <w:pPr>
        <w:pStyle w:val="Bibliography"/>
      </w:pPr>
      <w:r>
        <w:t xml:space="preserve">Unsworth, R.K.F., Nordlund, L.M., Cullen-Unsworth, L.C., 2019b.</w:t>
      </w:r>
      <w:r>
        <w:t xml:space="preserve"> </w:t>
      </w:r>
      <w:r>
        <w:t xml:space="preserve">Seagrass meadows support global fisheries production</w:t>
      </w:r>
      <w:r>
        <w:t xml:space="preserve">. Conservation Letters 12, 1–8.</w:t>
      </w:r>
      <w:r>
        <w:t xml:space="preserve"> </w:t>
      </w:r>
      <w:hyperlink r:id="rId693">
        <w:r>
          <w:rPr>
            <w:rStyle w:val="Hyperlink"/>
          </w:rPr>
          <w:t xml:space="preserve">https://doi.org/10.1111/conl.12566</w:t>
        </w:r>
      </w:hyperlink>
    </w:p>
    <w:bookmarkEnd w:id="694"/>
    <w:bookmarkStart w:id="695"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695"/>
    <w:bookmarkStart w:id="696" w:name="ref-unsworth2019seagrass"/>
    <w:p>
      <w:pPr>
        <w:pStyle w:val="Bibliography"/>
      </w:pPr>
      <w:r>
        <w:t xml:space="preserve">Unsworth, R.K., Nordlund, L.M., Cullen-Unsworth, L.C., 2019b. Seagrass meadows support global fisheries production. Conservation Letters 12, e12566.</w:t>
      </w:r>
    </w:p>
    <w:bookmarkEnd w:id="696"/>
    <w:bookmarkStart w:id="697" w:name="ref-Ustin2020"/>
    <w:p>
      <w:pPr>
        <w:pStyle w:val="Bibliography"/>
      </w:pPr>
      <w:r>
        <w:t xml:space="preserve">Ustin, S.L., Jacquemoud, S., 2020. How the optical properties of leaves modify the absorption and scattering of energy and enhance leaf functionality, in: Remote Sensing of Plant Biodiversity. Springer, Cham, pp. 349–384.</w:t>
      </w:r>
    </w:p>
    <w:bookmarkEnd w:id="697"/>
    <w:bookmarkStart w:id="699"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698">
        <w:r>
          <w:rPr>
            <w:rStyle w:val="Hyperlink"/>
          </w:rPr>
          <w:t xml:space="preserve">https://doi.org/10.1641/0006-3568(2004)054[0523:UISTSE]2.0.CO;2</w:t>
        </w:r>
      </w:hyperlink>
    </w:p>
    <w:bookmarkEnd w:id="699"/>
    <w:bookmarkStart w:id="700" w:name="ref-valderrama2013social"/>
    <w:p>
      <w:pPr>
        <w:pStyle w:val="Bibliography"/>
      </w:pPr>
      <w:r>
        <w:t xml:space="preserve">Valderrama, D., Cai, J., Hishamunda, N., Ridler, N., 2013. Social and economic dimensions of carrageenan seaweed farming.</w:t>
      </w:r>
    </w:p>
    <w:bookmarkEnd w:id="700"/>
    <w:bookmarkStart w:id="701"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701"/>
    <w:bookmarkStart w:id="702"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702"/>
    <w:bookmarkStart w:id="704"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703">
        <w:r>
          <w:rPr>
            <w:rStyle w:val="Hyperlink"/>
          </w:rPr>
          <w:t xml:space="preserve">https://doi.org/10.1127/0340-269X/2003/0033-0187</w:t>
        </w:r>
      </w:hyperlink>
    </w:p>
    <w:bookmarkEnd w:id="704"/>
    <w:bookmarkStart w:id="705"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705"/>
    <w:bookmarkStart w:id="706"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706"/>
    <w:bookmarkStart w:id="707" w:name="ref-Veettil2020"/>
    <w:p>
      <w:pPr>
        <w:pStyle w:val="Bibliography"/>
      </w:pPr>
      <w:r>
        <w:t xml:space="preserve">Veettil, B.K., Ward, R.D., Lima, M.D.A.C., Stankovic, M., Hoai, P.N., Quang, N.X., 2020a. Opportunities for seagrass research derived from remote sensing: A review of current methods. Ecological Indicators 117, 106560.</w:t>
      </w:r>
    </w:p>
    <w:bookmarkEnd w:id="707"/>
    <w:bookmarkStart w:id="708" w:name="ref-veettil2020opportunities"/>
    <w:p>
      <w:pPr>
        <w:pStyle w:val="Bibliography"/>
      </w:pPr>
      <w:r>
        <w:t xml:space="preserve">Veettil, B.K., Ward, R.D., Lima, M.D.A.C., Stankovic, M., Hoai, P.N., Quang, N.X., 2020b. Opportunities for seagrass research derived from remote sensing: A review of current methods. Ecological Indicators 117, 106560.</w:t>
      </w:r>
    </w:p>
    <w:bookmarkEnd w:id="708"/>
    <w:bookmarkStart w:id="709"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709"/>
    <w:bookmarkStart w:id="710"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710"/>
    <w:bookmarkStart w:id="711" w:name="ref-walker1992seagrass"/>
    <w:p>
      <w:pPr>
        <w:pStyle w:val="Bibliography"/>
      </w:pPr>
      <w:r>
        <w:t xml:space="preserve">Walker, D.I., McComb, A.J., 1992. Seagrass degradation in australian coastal waters. Marine Pollution Bulletin 25, 191–195.</w:t>
      </w:r>
    </w:p>
    <w:bookmarkEnd w:id="711"/>
    <w:bookmarkStart w:id="712" w:name="ref-wang2022"/>
    <w:p>
      <w:pPr>
        <w:pStyle w:val="Bibliography"/>
      </w:pPr>
      <w:r>
        <w:t xml:space="preserve">Wang, Z., Fang, Z., Liang, J., Song, X., 2022. Assessment of global habitat suitability and risk of ocean green tides. Harmful Algae 119, 102324.</w:t>
      </w:r>
    </w:p>
    <w:bookmarkEnd w:id="712"/>
    <w:bookmarkStart w:id="714" w:name="ref-WEI2015399"/>
    <w:p>
      <w:pPr>
        <w:pStyle w:val="Bibliography"/>
      </w:pPr>
      <w:r>
        <w:t xml:space="preserve">Wei, P., Lu, Z., Song, J., 2015. Variable importance analysis: A comprehensive review. Reliability Engineering and System Safety 142, 399–432. https://doi.org/</w:t>
      </w:r>
      <w:hyperlink r:id="rId713">
        <w:r>
          <w:rPr>
            <w:rStyle w:val="Hyperlink"/>
          </w:rPr>
          <w:t xml:space="preserve">https://doi.org/10.1016/j.ress.2015.05.018</w:t>
        </w:r>
      </w:hyperlink>
    </w:p>
    <w:bookmarkEnd w:id="714"/>
    <w:bookmarkStart w:id="715"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715"/>
    <w:bookmarkStart w:id="716"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716"/>
    <w:bookmarkStart w:id="717" w:name="ref-williams2007global"/>
    <w:p>
      <w:pPr>
        <w:pStyle w:val="Bibliography"/>
      </w:pPr>
      <w:r>
        <w:t xml:space="preserve">Williams, S.L., Smith, J.E., 2007. A global review of the distribution, taxonomy, and impacts of introduced seaweeds. Annu. Rev. Ecol. Evol. Syst. 38, 327–359.</w:t>
      </w:r>
    </w:p>
    <w:bookmarkEnd w:id="717"/>
    <w:bookmarkStart w:id="719" w:name="ref-R-ranger"/>
    <w:p>
      <w:pPr>
        <w:pStyle w:val="Bibliography"/>
      </w:pPr>
      <w:r>
        <w:t xml:space="preserve">Wright, M.N., 2024.</w:t>
      </w:r>
      <w:r>
        <w:t xml:space="preserve"> </w:t>
      </w:r>
      <w:hyperlink r:id="rId718">
        <w:r>
          <w:rPr>
            <w:rStyle w:val="Hyperlink"/>
          </w:rPr>
          <w:t xml:space="preserve">Ranger: A fast implementation of random forests</w:t>
        </w:r>
      </w:hyperlink>
      <w:r>
        <w:t xml:space="preserve">.</w:t>
      </w:r>
    </w:p>
    <w:bookmarkEnd w:id="719"/>
    <w:bookmarkStart w:id="720"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720"/>
    <w:bookmarkStart w:id="722"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721">
        <w:r>
          <w:rPr>
            <w:rStyle w:val="Hyperlink"/>
          </w:rPr>
          <w:t xml:space="preserve">https://doi.org/10.1155/2017/1353691</w:t>
        </w:r>
      </w:hyperlink>
    </w:p>
    <w:bookmarkEnd w:id="722"/>
    <w:bookmarkStart w:id="723"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723"/>
    <w:bookmarkStart w:id="725"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724">
        <w:r>
          <w:rPr>
            <w:rStyle w:val="Hyperlink"/>
          </w:rPr>
          <w:t xml:space="preserve">https://doi.org/10.3390/d14121077</w:t>
        </w:r>
      </w:hyperlink>
    </w:p>
    <w:bookmarkEnd w:id="725"/>
    <w:bookmarkStart w:id="727" w:name="ref-Zoffoli2021"/>
    <w:p>
      <w:pPr>
        <w:pStyle w:val="Bibliography"/>
      </w:pPr>
      <w:r>
        <w:t xml:space="preserve">Zoffoli, M.L., Gernez, P., Godet, L., Peters, S., Oiry, S., Barillé, L., 2021b. Decadal increase in the ecological status of a north-atlantic intertidal seagrass meadow observed with multi-mission satellite time-series. Ecological Indicators 130, 108033.</w:t>
      </w:r>
      <w:r>
        <w:t xml:space="preserve"> </w:t>
      </w:r>
      <w:hyperlink r:id="rId726">
        <w:r>
          <w:rPr>
            <w:rStyle w:val="Hyperlink"/>
          </w:rPr>
          <w:t xml:space="preserve">https://doi.org/10.1016/j.ecolind.2021.108033</w:t>
        </w:r>
      </w:hyperlink>
    </w:p>
    <w:bookmarkEnd w:id="727"/>
    <w:bookmarkStart w:id="728" w:name="ref-zoffoli2021decadal"/>
    <w:p>
      <w:pPr>
        <w:pStyle w:val="Bibliography"/>
      </w:pPr>
      <w:r>
        <w:t xml:space="preserve">Zoffoli, M.L., Gernez, P., Godet, L., Peters, S., Oiry, S., Barillé, L., 2021a. Decadal increase in the ecological status of a north-atlantic intertidal seagrass meadow observed with multi-mission satellite time-series. Ecological Indicators 130, 108033.</w:t>
      </w:r>
    </w:p>
    <w:bookmarkEnd w:id="728"/>
    <w:bookmarkStart w:id="729"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729"/>
    <w:bookmarkStart w:id="730" w:name="ref-Zoffoli2022"/>
    <w:p>
      <w:pPr>
        <w:pStyle w:val="Bibliography"/>
      </w:pPr>
      <w:r>
        <w:t xml:space="preserve">Zoffoli, M.L., Gernez, P., Oiry, S., Godet, L., Dalloyau, S., Davies, B.F.R., Barillé, L., 2022. Remote sensing in seagrass ecology: Coupled dynamics between migratory herbivorous birds and intertidal meadows observed by satellite during four decades. Remote Sensing in Ecology and Conservation.</w:t>
      </w:r>
      <w:r>
        <w:t xml:space="preserve"> </w:t>
      </w:r>
      <w:hyperlink r:id="rId20">
        <w:r>
          <w:rPr>
            <w:rStyle w:val="Hyperlink"/>
          </w:rPr>
          <w:t xml:space="preserve">https://doi.org/10.1002/rse2.319</w:t>
        </w:r>
      </w:hyperlink>
    </w:p>
    <w:bookmarkEnd w:id="730"/>
    <w:bookmarkStart w:id="731" w:name="ref-zoffoli2020sentinel"/>
    <w:p>
      <w:pPr>
        <w:pStyle w:val="Bibliography"/>
      </w:pPr>
      <w:r>
        <w:t xml:space="preserve">Zoffoli, M.L., Gernez, P., Rosa, P., Le Bris, A., Brando, Vittorio E., Barillé, A.-L., Harin, N., Peters, S., Poser, K., Spaias, L., others, 2020a. Sentinel-2 remote sensing of zostera noltei-dominated intertidal seagrass meadows. Remote Sensing of Environment 251, 112020.</w:t>
      </w:r>
    </w:p>
    <w:bookmarkEnd w:id="731"/>
    <w:bookmarkStart w:id="733" w:name="ref-ZOFFOLI2020112020"/>
    <w:p>
      <w:pPr>
        <w:pStyle w:val="Bibliography"/>
      </w:pPr>
      <w:r>
        <w:t xml:space="preserve">Zoffoli, M.L., Gernez, P., Rosa, P., Le Bris, A., Brando, Vittorio E., Barillé, A.-L., Harin, N., Peters, S., Poser, K., Spaias, L., Peralta, G., Barillé, L., 2020b. Sentinel-2 remote sensing of zostera noltei-dominated intertidal seagrass meadows. Remote Sensing of Environment 251, 112020. https://doi.org/</w:t>
      </w:r>
      <w:hyperlink r:id="rId732">
        <w:r>
          <w:rPr>
            <w:rStyle w:val="Hyperlink"/>
          </w:rPr>
          <w:t xml:space="preserve">https://doi.org/10.1016/j.rse.2020.112020</w:t>
        </w:r>
      </w:hyperlink>
    </w:p>
    <w:bookmarkEnd w:id="733"/>
    <w:bookmarkStart w:id="734" w:name="ref-Zoffoli2020"/>
    <w:p>
      <w:pPr>
        <w:pStyle w:val="Bibliography"/>
      </w:pPr>
      <w:r>
        <w:t xml:space="preserve">Zoffoli, M.L., Gernez, P., Rosa, P., Le Bris, A., Brando, Vittorio E., Barillé, A.L., Harin, N., Peters, S., Poser, K., Spaias, L., Peralta, G., Barillé, L., 2020c.</w:t>
      </w:r>
      <w:r>
        <w:t xml:space="preserve"> </w:t>
      </w:r>
      <w:r>
        <w:t xml:space="preserve">Sentinel-2 remote sensing of Zostera noltei-dominated intertidal seagrass meadows</w:t>
      </w:r>
      <w:r>
        <w:t xml:space="preserve">. Remote Sensing of Environment 251, 112020.</w:t>
      </w:r>
      <w:r>
        <w:t xml:space="preserve"> </w:t>
      </w:r>
      <w:hyperlink r:id="rId732">
        <w:r>
          <w:rPr>
            <w:rStyle w:val="Hyperlink"/>
          </w:rPr>
          <w:t xml:space="preserve">https://doi.org/10.1016/j.rse.2020.112020</w:t>
        </w:r>
      </w:hyperlink>
    </w:p>
    <w:bookmarkEnd w:id="734"/>
    <w:bookmarkEnd w:id="735"/>
    <w:bookmarkEnd w:id="736"/>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5" Target="media/rId75.png" /><Relationship Type="http://schemas.openxmlformats.org/officeDocument/2006/relationships/image" Id="rId69" Target="media/rId69.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41" Target="media/rId41.png" /><Relationship Type="http://schemas.openxmlformats.org/officeDocument/2006/relationships/image" Id="rId62" Target="media/rId62.png" /><Relationship Type="http://schemas.openxmlformats.org/officeDocument/2006/relationships/image" Id="rId92" Target="media/rId92.png" /><Relationship Type="http://schemas.openxmlformats.org/officeDocument/2006/relationships/image" Id="rId84" Target="media/rId8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111" Target="media/rId111.jpg" /><Relationship Type="http://schemas.openxmlformats.org/officeDocument/2006/relationships/image" Id="rId115" Target="media/rId115.jpg" /><Relationship Type="http://schemas.openxmlformats.org/officeDocument/2006/relationships/image" Id="rId120" Target="media/rId120.jpg" /><Relationship Type="http://schemas.openxmlformats.org/officeDocument/2006/relationships/image" Id="rId129" Target="media/rId129.jpg" /><Relationship Type="http://schemas.openxmlformats.org/officeDocument/2006/relationships/image" Id="rId134" Target="media/rId134.jpg" /><Relationship Type="http://schemas.openxmlformats.org/officeDocument/2006/relationships/image" Id="rId139" Target="media/rId139.jpg" /><Relationship Type="http://schemas.openxmlformats.org/officeDocument/2006/relationships/image" Id="rId147" Target="media/rId147.jpg" /><Relationship Type="http://schemas.openxmlformats.org/officeDocument/2006/relationships/image" Id="rId151" Target="media/rId151.jpg" /><Relationship Type="http://schemas.openxmlformats.org/officeDocument/2006/relationships/image" Id="rId156" Target="media/rId156.jpg" /><Relationship Type="http://schemas.openxmlformats.org/officeDocument/2006/relationships/image" Id="rId107" Target="media/rId107.png" /><Relationship Type="http://schemas.openxmlformats.org/officeDocument/2006/relationships/image" Id="rId143" Target="media/rId143.png" /><Relationship Type="http://schemas.openxmlformats.org/officeDocument/2006/relationships/image" Id="rId163" Target="media/rId163.png" /><Relationship Type="http://schemas.openxmlformats.org/officeDocument/2006/relationships/image" Id="rId174" Target="media/rId174.png" /><Relationship Type="http://schemas.openxmlformats.org/officeDocument/2006/relationships/image" Id="rId236" Target="media/rId236.png" /><Relationship Type="http://schemas.openxmlformats.org/officeDocument/2006/relationships/image" Id="rId241" Target="media/rId241.png" /><Relationship Type="http://schemas.openxmlformats.org/officeDocument/2006/relationships/image" Id="rId246" Target="media/rId246.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209" Target="media/rId209.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179" Target="media/rId179.png" /><Relationship Type="http://schemas.openxmlformats.org/officeDocument/2006/relationships/image" Id="rId195" Target="media/rId195.png" /><Relationship Type="http://schemas.openxmlformats.org/officeDocument/2006/relationships/image" Id="rId320" Target="media/rId320.png" /><Relationship Type="http://schemas.openxmlformats.org/officeDocument/2006/relationships/image" Id="rId305" Target="media/rId305.png" /><Relationship Type="http://schemas.openxmlformats.org/officeDocument/2006/relationships/image" Id="rId295" Target="media/rId295.png" /><Relationship Type="http://schemas.openxmlformats.org/officeDocument/2006/relationships/image" Id="rId273" Target="media/rId273.png" /><Relationship Type="http://schemas.openxmlformats.org/officeDocument/2006/relationships/image" Id="rId283" Target="media/rId283.png" /><Relationship Type="http://schemas.openxmlformats.org/officeDocument/2006/relationships/image" Id="rId309" Target="media/rId309.png" /><Relationship Type="http://schemas.openxmlformats.org/officeDocument/2006/relationships/image" Id="rId291" Target="media/rId291.png" /><Relationship Type="http://schemas.openxmlformats.org/officeDocument/2006/relationships/image" Id="rId268" Target="media/rId268.png" /><Relationship Type="http://schemas.openxmlformats.org/officeDocument/2006/relationships/image" Id="rId331" Target="media/rId331.png" /><Relationship Type="http://schemas.openxmlformats.org/officeDocument/2006/relationships/image" Id="rId300" Target="media/rId300.pn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348" Target="http://prisma.asi.it/missionselect/docs/PRISMA%20Product%20Specifications_Is2_3.pdf" TargetMode="External" /><Relationship Type="http://schemas.openxmlformats.org/officeDocument/2006/relationships/hyperlink" Id="rId399" Target="https://CRAN.R-project.org/package=shiny" TargetMode="External" /><Relationship Type="http://schemas.openxmlformats.org/officeDocument/2006/relationships/hyperlink" Id="rId484" Target="https://CRAN.R-project.org/package=terra" TargetMode="External" /><Relationship Type="http://schemas.openxmlformats.org/officeDocument/2006/relationships/hyperlink" Id="rId26" Target="https://bicome.info" TargetMode="External" /><Relationship Type="http://schemas.openxmlformats.org/officeDocument/2006/relationships/hyperlink" Id="rId46" Target="https://blue-economy-observatory.ec.europa.eu/eu-blue-economy-sectors/coastal-tourism_en" TargetMode="External" /><Relationship Type="http://schemas.openxmlformats.org/officeDocument/2006/relationships/hyperlink" Id="rId572" Target="https://doi.org/10.1002/eap.1682" TargetMode="External" /><Relationship Type="http://schemas.openxmlformats.org/officeDocument/2006/relationships/hyperlink" Id="rId395"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392" Target="https://doi.org/10.1007/s00227-012-1987-5" TargetMode="External" /><Relationship Type="http://schemas.openxmlformats.org/officeDocument/2006/relationships/hyperlink" Id="rId361" Target="https://doi.org/10.1007/s003380050055" TargetMode="External" /><Relationship Type="http://schemas.openxmlformats.org/officeDocument/2006/relationships/hyperlink" Id="rId678" Target="https://doi.org/10.1007/s11356-011-0479-3" TargetMode="External" /><Relationship Type="http://schemas.openxmlformats.org/officeDocument/2006/relationships/hyperlink" Id="rId363" Target="https://doi.org/10.1007/s12237-021-00949-8" TargetMode="External" /><Relationship Type="http://schemas.openxmlformats.org/officeDocument/2006/relationships/hyperlink" Id="rId691" Target="https://doi.org/10.1007/s13280-018-1115-y" TargetMode="External" /><Relationship Type="http://schemas.openxmlformats.org/officeDocument/2006/relationships/hyperlink" Id="rId401" Target="https://doi.org/10.1016/j.algal.2017.04.021" TargetMode="External" /><Relationship Type="http://schemas.openxmlformats.org/officeDocument/2006/relationships/hyperlink" Id="rId358" Target="https://doi.org/10.1016/j.aquabot.2009.11.006" TargetMode="External" /><Relationship Type="http://schemas.openxmlformats.org/officeDocument/2006/relationships/hyperlink" Id="rId390" Target="https://doi.org/10.1016/j.csr.2013.01.010" TargetMode="External" /><Relationship Type="http://schemas.openxmlformats.org/officeDocument/2006/relationships/hyperlink" Id="rId411" Target="https://doi.org/10.1016/j.ecolind.2020.107018" TargetMode="External" /><Relationship Type="http://schemas.openxmlformats.org/officeDocument/2006/relationships/hyperlink" Id="rId594" Target="https://doi.org/10.1016/j.ecolind.2020.107184" TargetMode="External" /><Relationship Type="http://schemas.openxmlformats.org/officeDocument/2006/relationships/hyperlink" Id="rId726" Target="https://doi.org/10.1016/j.ecolind.2021.108033" TargetMode="External" /><Relationship Type="http://schemas.openxmlformats.org/officeDocument/2006/relationships/hyperlink" Id="rId647" Target="https://doi.org/10.1016/j.ecoser.2022.101414" TargetMode="External" /><Relationship Type="http://schemas.openxmlformats.org/officeDocument/2006/relationships/hyperlink" Id="rId520" Target="https://doi.org/10.1016/j.ecss.2005.12.004" TargetMode="External" /><Relationship Type="http://schemas.openxmlformats.org/officeDocument/2006/relationships/hyperlink" Id="rId464" Target="https://doi.org/10.1016/j.ecss.2021.107320" TargetMode="External" /><Relationship Type="http://schemas.openxmlformats.org/officeDocument/2006/relationships/hyperlink" Id="rId487" Target="https://doi.org/10.1016/j.envpol.2021.117731" TargetMode="External" /><Relationship Type="http://schemas.openxmlformats.org/officeDocument/2006/relationships/hyperlink" Id="rId353" Target="https://doi.org/10.1016/j.jembe.2013.04.012" TargetMode="External" /><Relationship Type="http://schemas.openxmlformats.org/officeDocument/2006/relationships/hyperlink" Id="rId553" Target="https://doi.org/10.1016/j.jphotobiol.2013.10.005" TargetMode="External" /><Relationship Type="http://schemas.openxmlformats.org/officeDocument/2006/relationships/hyperlink" Id="rId656" Target="https://doi.org/10.1016/j.marenvres.2021.105475" TargetMode="External" /><Relationship Type="http://schemas.openxmlformats.org/officeDocument/2006/relationships/hyperlink" Id="rId685" Target="https://doi.org/10.1016/j.marpolbul.2017.06.075" TargetMode="External" /><Relationship Type="http://schemas.openxmlformats.org/officeDocument/2006/relationships/hyperlink" Id="rId713" Target="https://doi.org/10.1016/j.ress.2015.05.018" TargetMode="External" /><Relationship Type="http://schemas.openxmlformats.org/officeDocument/2006/relationships/hyperlink" Id="rId356" Target="https://doi.org/10.1016/j.rse.2010.12.008" TargetMode="External" /><Relationship Type="http://schemas.openxmlformats.org/officeDocument/2006/relationships/hyperlink" Id="rId432" Target="https://doi.org/10.1016/j.rse.2015.01.027" TargetMode="External" /><Relationship Type="http://schemas.openxmlformats.org/officeDocument/2006/relationships/hyperlink" Id="rId482" Target="https://doi.org/10.1016/j.rse.2015.05.023" TargetMode="External" /><Relationship Type="http://schemas.openxmlformats.org/officeDocument/2006/relationships/hyperlink" Id="rId490" Target="https://doi.org/10.1016/j.rse.2017.01.037" TargetMode="External" /><Relationship Type="http://schemas.openxmlformats.org/officeDocument/2006/relationships/hyperlink" Id="rId582" Target="https://doi.org/10.1016/j.rse.2018.10.032" TargetMode="External" /><Relationship Type="http://schemas.openxmlformats.org/officeDocument/2006/relationships/hyperlink" Id="rId732" Target="https://doi.org/10.1016/j.rse.2020.112020" TargetMode="External" /><Relationship Type="http://schemas.openxmlformats.org/officeDocument/2006/relationships/hyperlink" Id="rId417" Target="https://doi.org/10.1016/j.rse.2023.113554" TargetMode="External" /><Relationship Type="http://schemas.openxmlformats.org/officeDocument/2006/relationships/hyperlink" Id="rId368" Target="https://doi.org/10.1016/j.seares.2014.02.014" TargetMode="External" /><Relationship Type="http://schemas.openxmlformats.org/officeDocument/2006/relationships/hyperlink" Id="rId568" Target="https://doi.org/10.1017/s0031182002001476" TargetMode="External" /><Relationship Type="http://schemas.openxmlformats.org/officeDocument/2006/relationships/hyperlink" Id="rId577" Target="https://doi.org/10.1038/s41586-018-0805-8" TargetMode="External" /><Relationship Type="http://schemas.openxmlformats.org/officeDocument/2006/relationships/hyperlink" Id="rId565" Target="https://doi.org/10.1038/s41598-021-83597-z" TargetMode="External" /><Relationship Type="http://schemas.openxmlformats.org/officeDocument/2006/relationships/hyperlink" Id="rId514" Target="https://doi.org/10.1063/1.44433" TargetMode="External" /><Relationship Type="http://schemas.openxmlformats.org/officeDocument/2006/relationships/hyperlink" Id="rId559" Target="https://doi.org/10.1080/17445647.2021.1925170" TargetMode="External" /><Relationship Type="http://schemas.openxmlformats.org/officeDocument/2006/relationships/hyperlink" Id="rId562" Target="https://doi.org/10.1111/GCB.14108" TargetMode="External" /><Relationship Type="http://schemas.openxmlformats.org/officeDocument/2006/relationships/hyperlink" Id="rId693" Target="https://doi.org/10.1111/conl.12566" TargetMode="External" /><Relationship Type="http://schemas.openxmlformats.org/officeDocument/2006/relationships/hyperlink" Id="rId703" Target="https://doi.org/10.1127/0340-269X/2003/0033-0187" TargetMode="External" /><Relationship Type="http://schemas.openxmlformats.org/officeDocument/2006/relationships/hyperlink" Id="rId386" Target="https://doi.org/10.1139/cjfas-2016-0137" TargetMode="External" /><Relationship Type="http://schemas.openxmlformats.org/officeDocument/2006/relationships/hyperlink" Id="rId721" Target="https://doi.org/10.1155/2017/1353691" TargetMode="External" /><Relationship Type="http://schemas.openxmlformats.org/officeDocument/2006/relationships/hyperlink" Id="rId504" Target="https://doi.org/10.1177/0309133309339563" TargetMode="External" /><Relationship Type="http://schemas.openxmlformats.org/officeDocument/2006/relationships/hyperlink" Id="rId423" Target="https://doi.org/10.15468/n4ak6x" TargetMode="External" /><Relationship Type="http://schemas.openxmlformats.org/officeDocument/2006/relationships/hyperlink" Id="rId698" Target="https://doi.org/10.1641/0006-3568(2004)054[0523:UISTSE]2.0.CO;2" TargetMode="External" /><Relationship Type="http://schemas.openxmlformats.org/officeDocument/2006/relationships/hyperlink" Id="rId383" Target="https://doi.org/10.18637/jss.v080.i01" TargetMode="External" /><Relationship Type="http://schemas.openxmlformats.org/officeDocument/2006/relationships/hyperlink" Id="rId379" Target="https://doi.org/10.18637/jss.v100.i05" TargetMode="External" /><Relationship Type="http://schemas.openxmlformats.org/officeDocument/2006/relationships/hyperlink" Id="rId666" Target="https://doi.org/10.2307/2657019" TargetMode="External" /><Relationship Type="http://schemas.openxmlformats.org/officeDocument/2006/relationships/hyperlink" Id="rId381" Target="https://doi.org/10.32614/RJ-2018-017" TargetMode="External" /><Relationship Type="http://schemas.openxmlformats.org/officeDocument/2006/relationships/hyperlink" Id="rId649" Target="https://doi.org/10.3389/fevo.2021.767548" TargetMode="External" /><Relationship Type="http://schemas.openxmlformats.org/officeDocument/2006/relationships/hyperlink" Id="rId632" Target="https://doi.org/10.3389/fmars.2022.1004012" TargetMode="External" /><Relationship Type="http://schemas.openxmlformats.org/officeDocument/2006/relationships/hyperlink" Id="rId375" Target="https://doi.org/10.3390/RS14020307" TargetMode="External" /><Relationship Type="http://schemas.openxmlformats.org/officeDocument/2006/relationships/hyperlink" Id="rId479" Target="https://doi.org/10.3390/app8122688" TargetMode="External" /><Relationship Type="http://schemas.openxmlformats.org/officeDocument/2006/relationships/hyperlink" Id="rId724" Target="https://doi.org/10.3390/d14121077" TargetMode="External" /><Relationship Type="http://schemas.openxmlformats.org/officeDocument/2006/relationships/hyperlink" Id="rId540" Target="https://doi.org/10.3390/d15020161" TargetMode="External" /><Relationship Type="http://schemas.openxmlformats.org/officeDocument/2006/relationships/hyperlink" Id="rId556" Target="https://doi.org/10.3390/jmse11020367" TargetMode="External" /><Relationship Type="http://schemas.openxmlformats.org/officeDocument/2006/relationships/hyperlink" Id="rId543" Target="https://doi.org/10.3390/rs11060704" TargetMode="External" /><Relationship Type="http://schemas.openxmlformats.org/officeDocument/2006/relationships/hyperlink" Id="rId602" Target="https://doi.org/10.3390/rs12233870" TargetMode="External" /><Relationship Type="http://schemas.openxmlformats.org/officeDocument/2006/relationships/hyperlink" Id="rId654" Target="https://doi.org/10.3390/rs13081408" TargetMode="External" /><Relationship Type="http://schemas.openxmlformats.org/officeDocument/2006/relationships/hyperlink" Id="rId438" Target="https://doi.org/10.3390/rs14020346" TargetMode="External" /><Relationship Type="http://schemas.openxmlformats.org/officeDocument/2006/relationships/hyperlink" Id="rId436" Target="https://doi.org/10.3390/rs14133124" TargetMode="External" /><Relationship Type="http://schemas.openxmlformats.org/officeDocument/2006/relationships/hyperlink" Id="rId598" Target="https://doi.org/10.3390/rs16234383" TargetMode="External" /><Relationship Type="http://schemas.openxmlformats.org/officeDocument/2006/relationships/hyperlink" Id="rId459" Target="https://doi.org/10.4319/lo.2003.48.1_part_2.0464" TargetMode="External" /><Relationship Type="http://schemas.openxmlformats.org/officeDocument/2006/relationships/hyperlink" Id="rId609" Target="https://doi.org/10.5281/zenodo.3463051" TargetMode="External" /><Relationship Type="http://schemas.openxmlformats.org/officeDocument/2006/relationships/hyperlink" Id="rId470" Target="https://github.com/koalaverse/vip/" TargetMode="External" /><Relationship Type="http://schemas.openxmlformats.org/officeDocument/2006/relationships/hyperlink" Id="rId516" Target="https://github.com/tidymodels/yardstick" TargetMode="External" /><Relationship Type="http://schemas.openxmlformats.org/officeDocument/2006/relationships/hyperlink" Id="rId600" Target="https://github.com/vegandevs/vegan" TargetMode="External" /><Relationship Type="http://schemas.openxmlformats.org/officeDocument/2006/relationships/hyperlink" Id="rId29" Target="https://hygeos.com/en/" TargetMode="External" /><Relationship Type="http://schemas.openxmlformats.org/officeDocument/2006/relationships/hyperlink" Id="rId718" Target="https://imbs-hl.github.io/ranger/" TargetMode="External" /><Relationship Type="http://schemas.openxmlformats.org/officeDocument/2006/relationships/hyperlink" Id="rId373" Target="https://ipbes.net/global-assessment%0Ahttps://ipbes.net/global-assessment-report-biodiversity-ecosystem-services" TargetMode="External" /><Relationship Type="http://schemas.openxmlformats.org/officeDocument/2006/relationships/hyperlink" Id="rId611" Target="https://marinespecies.org/aphia.php?p=sourcedetails&amp;id=303450" TargetMode="External" /><Relationship Type="http://schemas.openxmlformats.org/officeDocument/2006/relationships/hyperlink" Id="rId48" Target="https://maritime-union.org/how-much-trade-is-maritime/?utm_source=chatgpt.com" TargetMode="External" /><Relationship Type="http://schemas.openxmlformats.org/officeDocument/2006/relationships/hyperlink" Id="rId592"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456" Target="https://rsample.tidymodels.org" TargetMode="External" /><Relationship Type="http://schemas.openxmlformats.org/officeDocument/2006/relationships/hyperlink" Id="rId662" Target="https://services.data.shom.fr/geonetwork/srv/fre/catalog.search#/metadata/BATHYMETRIE_LITTO3D_BZH_2018_2021.xml" TargetMode="External" /><Relationship Type="http://schemas.openxmlformats.org/officeDocument/2006/relationships/hyperlink" Id="rId624" Target="https://www.R-project.org/" TargetMode="External" /><Relationship Type="http://schemas.openxmlformats.org/officeDocument/2006/relationships/hyperlink" Id="rId343" Target="https://www.agisoft.com/" TargetMode="External" /><Relationship Type="http://schemas.openxmlformats.org/officeDocument/2006/relationships/hyperlink" Id="rId28" Target="https://www.dlr.de/en" TargetMode="External" /><Relationship Type="http://schemas.openxmlformats.org/officeDocument/2006/relationships/hyperlink" Id="rId492" Target="https://www.ign.fr" TargetMode="External" /><Relationship Type="http://schemas.openxmlformats.org/officeDocument/2006/relationships/hyperlink" Id="rId500" Target="https://www.imo.org" TargetMode="External" /><Relationship Type="http://schemas.openxmlformats.org/officeDocument/2006/relationships/hyperlink" Id="rId496" Target="https://www.itopf.org/knowledge-resources/data-statistics/statistics/" TargetMode="External" /><Relationship Type="http://schemas.openxmlformats.org/officeDocument/2006/relationships/hyperlink" Id="rId622" Target="https://www.qgis.org" TargetMode="External" /><Relationship Type="http://schemas.openxmlformats.org/officeDocument/2006/relationships/hyperlink" Id="rId47" Target="https://www.reuters.com/business/environment/aquafarming-becomes-main-global-source-fish-un-food-agency-says-2024-06-07" TargetMode="External" /><Relationship Type="http://schemas.openxmlformats.org/officeDocument/2006/relationships/hyperlink" Id="rId660" Target="https://www.shom.fr" TargetMode="External" /><Relationship Type="http://schemas.openxmlformats.org/officeDocument/2006/relationships/hyperlink" Id="rId518"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348" Target="http://prisma.asi.it/missionselect/docs/PRISMA%20Product%20Specifications_Is2_3.pdf" TargetMode="External" /><Relationship Type="http://schemas.openxmlformats.org/officeDocument/2006/relationships/hyperlink" Id="rId399" Target="https://CRAN.R-project.org/package=shiny" TargetMode="External" /><Relationship Type="http://schemas.openxmlformats.org/officeDocument/2006/relationships/hyperlink" Id="rId484" Target="https://CRAN.R-project.org/package=terra" TargetMode="External" /><Relationship Type="http://schemas.openxmlformats.org/officeDocument/2006/relationships/hyperlink" Id="rId26" Target="https://bicome.info" TargetMode="External" /><Relationship Type="http://schemas.openxmlformats.org/officeDocument/2006/relationships/hyperlink" Id="rId46" Target="https://blue-economy-observatory.ec.europa.eu/eu-blue-economy-sectors/coastal-tourism_en" TargetMode="External" /><Relationship Type="http://schemas.openxmlformats.org/officeDocument/2006/relationships/hyperlink" Id="rId572" Target="https://doi.org/10.1002/eap.1682" TargetMode="External" /><Relationship Type="http://schemas.openxmlformats.org/officeDocument/2006/relationships/hyperlink" Id="rId395"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392" Target="https://doi.org/10.1007/s00227-012-1987-5" TargetMode="External" /><Relationship Type="http://schemas.openxmlformats.org/officeDocument/2006/relationships/hyperlink" Id="rId361" Target="https://doi.org/10.1007/s003380050055" TargetMode="External" /><Relationship Type="http://schemas.openxmlformats.org/officeDocument/2006/relationships/hyperlink" Id="rId678" Target="https://doi.org/10.1007/s11356-011-0479-3" TargetMode="External" /><Relationship Type="http://schemas.openxmlformats.org/officeDocument/2006/relationships/hyperlink" Id="rId363" Target="https://doi.org/10.1007/s12237-021-00949-8" TargetMode="External" /><Relationship Type="http://schemas.openxmlformats.org/officeDocument/2006/relationships/hyperlink" Id="rId691" Target="https://doi.org/10.1007/s13280-018-1115-y" TargetMode="External" /><Relationship Type="http://schemas.openxmlformats.org/officeDocument/2006/relationships/hyperlink" Id="rId401" Target="https://doi.org/10.1016/j.algal.2017.04.021" TargetMode="External" /><Relationship Type="http://schemas.openxmlformats.org/officeDocument/2006/relationships/hyperlink" Id="rId358" Target="https://doi.org/10.1016/j.aquabot.2009.11.006" TargetMode="External" /><Relationship Type="http://schemas.openxmlformats.org/officeDocument/2006/relationships/hyperlink" Id="rId390" Target="https://doi.org/10.1016/j.csr.2013.01.010" TargetMode="External" /><Relationship Type="http://schemas.openxmlformats.org/officeDocument/2006/relationships/hyperlink" Id="rId411" Target="https://doi.org/10.1016/j.ecolind.2020.107018" TargetMode="External" /><Relationship Type="http://schemas.openxmlformats.org/officeDocument/2006/relationships/hyperlink" Id="rId594" Target="https://doi.org/10.1016/j.ecolind.2020.107184" TargetMode="External" /><Relationship Type="http://schemas.openxmlformats.org/officeDocument/2006/relationships/hyperlink" Id="rId726" Target="https://doi.org/10.1016/j.ecolind.2021.108033" TargetMode="External" /><Relationship Type="http://schemas.openxmlformats.org/officeDocument/2006/relationships/hyperlink" Id="rId647" Target="https://doi.org/10.1016/j.ecoser.2022.101414" TargetMode="External" /><Relationship Type="http://schemas.openxmlformats.org/officeDocument/2006/relationships/hyperlink" Id="rId520" Target="https://doi.org/10.1016/j.ecss.2005.12.004" TargetMode="External" /><Relationship Type="http://schemas.openxmlformats.org/officeDocument/2006/relationships/hyperlink" Id="rId464" Target="https://doi.org/10.1016/j.ecss.2021.107320" TargetMode="External" /><Relationship Type="http://schemas.openxmlformats.org/officeDocument/2006/relationships/hyperlink" Id="rId487" Target="https://doi.org/10.1016/j.envpol.2021.117731" TargetMode="External" /><Relationship Type="http://schemas.openxmlformats.org/officeDocument/2006/relationships/hyperlink" Id="rId353" Target="https://doi.org/10.1016/j.jembe.2013.04.012" TargetMode="External" /><Relationship Type="http://schemas.openxmlformats.org/officeDocument/2006/relationships/hyperlink" Id="rId553" Target="https://doi.org/10.1016/j.jphotobiol.2013.10.005" TargetMode="External" /><Relationship Type="http://schemas.openxmlformats.org/officeDocument/2006/relationships/hyperlink" Id="rId656" Target="https://doi.org/10.1016/j.marenvres.2021.105475" TargetMode="External" /><Relationship Type="http://schemas.openxmlformats.org/officeDocument/2006/relationships/hyperlink" Id="rId685" Target="https://doi.org/10.1016/j.marpolbul.2017.06.075" TargetMode="External" /><Relationship Type="http://schemas.openxmlformats.org/officeDocument/2006/relationships/hyperlink" Id="rId713" Target="https://doi.org/10.1016/j.ress.2015.05.018" TargetMode="External" /><Relationship Type="http://schemas.openxmlformats.org/officeDocument/2006/relationships/hyperlink" Id="rId356" Target="https://doi.org/10.1016/j.rse.2010.12.008" TargetMode="External" /><Relationship Type="http://schemas.openxmlformats.org/officeDocument/2006/relationships/hyperlink" Id="rId432" Target="https://doi.org/10.1016/j.rse.2015.01.027" TargetMode="External" /><Relationship Type="http://schemas.openxmlformats.org/officeDocument/2006/relationships/hyperlink" Id="rId482" Target="https://doi.org/10.1016/j.rse.2015.05.023" TargetMode="External" /><Relationship Type="http://schemas.openxmlformats.org/officeDocument/2006/relationships/hyperlink" Id="rId490" Target="https://doi.org/10.1016/j.rse.2017.01.037" TargetMode="External" /><Relationship Type="http://schemas.openxmlformats.org/officeDocument/2006/relationships/hyperlink" Id="rId582" Target="https://doi.org/10.1016/j.rse.2018.10.032" TargetMode="External" /><Relationship Type="http://schemas.openxmlformats.org/officeDocument/2006/relationships/hyperlink" Id="rId732" Target="https://doi.org/10.1016/j.rse.2020.112020" TargetMode="External" /><Relationship Type="http://schemas.openxmlformats.org/officeDocument/2006/relationships/hyperlink" Id="rId417" Target="https://doi.org/10.1016/j.rse.2023.113554" TargetMode="External" /><Relationship Type="http://schemas.openxmlformats.org/officeDocument/2006/relationships/hyperlink" Id="rId368" Target="https://doi.org/10.1016/j.seares.2014.02.014" TargetMode="External" /><Relationship Type="http://schemas.openxmlformats.org/officeDocument/2006/relationships/hyperlink" Id="rId568" Target="https://doi.org/10.1017/s0031182002001476" TargetMode="External" /><Relationship Type="http://schemas.openxmlformats.org/officeDocument/2006/relationships/hyperlink" Id="rId577" Target="https://doi.org/10.1038/s41586-018-0805-8" TargetMode="External" /><Relationship Type="http://schemas.openxmlformats.org/officeDocument/2006/relationships/hyperlink" Id="rId565" Target="https://doi.org/10.1038/s41598-021-83597-z" TargetMode="External" /><Relationship Type="http://schemas.openxmlformats.org/officeDocument/2006/relationships/hyperlink" Id="rId514" Target="https://doi.org/10.1063/1.44433" TargetMode="External" /><Relationship Type="http://schemas.openxmlformats.org/officeDocument/2006/relationships/hyperlink" Id="rId559" Target="https://doi.org/10.1080/17445647.2021.1925170" TargetMode="External" /><Relationship Type="http://schemas.openxmlformats.org/officeDocument/2006/relationships/hyperlink" Id="rId562" Target="https://doi.org/10.1111/GCB.14108" TargetMode="External" /><Relationship Type="http://schemas.openxmlformats.org/officeDocument/2006/relationships/hyperlink" Id="rId693" Target="https://doi.org/10.1111/conl.12566" TargetMode="External" /><Relationship Type="http://schemas.openxmlformats.org/officeDocument/2006/relationships/hyperlink" Id="rId703" Target="https://doi.org/10.1127/0340-269X/2003/0033-0187" TargetMode="External" /><Relationship Type="http://schemas.openxmlformats.org/officeDocument/2006/relationships/hyperlink" Id="rId386" Target="https://doi.org/10.1139/cjfas-2016-0137" TargetMode="External" /><Relationship Type="http://schemas.openxmlformats.org/officeDocument/2006/relationships/hyperlink" Id="rId721" Target="https://doi.org/10.1155/2017/1353691" TargetMode="External" /><Relationship Type="http://schemas.openxmlformats.org/officeDocument/2006/relationships/hyperlink" Id="rId504" Target="https://doi.org/10.1177/0309133309339563" TargetMode="External" /><Relationship Type="http://schemas.openxmlformats.org/officeDocument/2006/relationships/hyperlink" Id="rId423" Target="https://doi.org/10.15468/n4ak6x" TargetMode="External" /><Relationship Type="http://schemas.openxmlformats.org/officeDocument/2006/relationships/hyperlink" Id="rId698" Target="https://doi.org/10.1641/0006-3568(2004)054[0523:UISTSE]2.0.CO;2" TargetMode="External" /><Relationship Type="http://schemas.openxmlformats.org/officeDocument/2006/relationships/hyperlink" Id="rId383" Target="https://doi.org/10.18637/jss.v080.i01" TargetMode="External" /><Relationship Type="http://schemas.openxmlformats.org/officeDocument/2006/relationships/hyperlink" Id="rId379" Target="https://doi.org/10.18637/jss.v100.i05" TargetMode="External" /><Relationship Type="http://schemas.openxmlformats.org/officeDocument/2006/relationships/hyperlink" Id="rId666" Target="https://doi.org/10.2307/2657019" TargetMode="External" /><Relationship Type="http://schemas.openxmlformats.org/officeDocument/2006/relationships/hyperlink" Id="rId381" Target="https://doi.org/10.32614/RJ-2018-017" TargetMode="External" /><Relationship Type="http://schemas.openxmlformats.org/officeDocument/2006/relationships/hyperlink" Id="rId649" Target="https://doi.org/10.3389/fevo.2021.767548" TargetMode="External" /><Relationship Type="http://schemas.openxmlformats.org/officeDocument/2006/relationships/hyperlink" Id="rId632" Target="https://doi.org/10.3389/fmars.2022.1004012" TargetMode="External" /><Relationship Type="http://schemas.openxmlformats.org/officeDocument/2006/relationships/hyperlink" Id="rId375" Target="https://doi.org/10.3390/RS14020307" TargetMode="External" /><Relationship Type="http://schemas.openxmlformats.org/officeDocument/2006/relationships/hyperlink" Id="rId479" Target="https://doi.org/10.3390/app8122688" TargetMode="External" /><Relationship Type="http://schemas.openxmlformats.org/officeDocument/2006/relationships/hyperlink" Id="rId724" Target="https://doi.org/10.3390/d14121077" TargetMode="External" /><Relationship Type="http://schemas.openxmlformats.org/officeDocument/2006/relationships/hyperlink" Id="rId540" Target="https://doi.org/10.3390/d15020161" TargetMode="External" /><Relationship Type="http://schemas.openxmlformats.org/officeDocument/2006/relationships/hyperlink" Id="rId556" Target="https://doi.org/10.3390/jmse11020367" TargetMode="External" /><Relationship Type="http://schemas.openxmlformats.org/officeDocument/2006/relationships/hyperlink" Id="rId543" Target="https://doi.org/10.3390/rs11060704" TargetMode="External" /><Relationship Type="http://schemas.openxmlformats.org/officeDocument/2006/relationships/hyperlink" Id="rId602" Target="https://doi.org/10.3390/rs12233870" TargetMode="External" /><Relationship Type="http://schemas.openxmlformats.org/officeDocument/2006/relationships/hyperlink" Id="rId654" Target="https://doi.org/10.3390/rs13081408" TargetMode="External" /><Relationship Type="http://schemas.openxmlformats.org/officeDocument/2006/relationships/hyperlink" Id="rId438" Target="https://doi.org/10.3390/rs14020346" TargetMode="External" /><Relationship Type="http://schemas.openxmlformats.org/officeDocument/2006/relationships/hyperlink" Id="rId436" Target="https://doi.org/10.3390/rs14133124" TargetMode="External" /><Relationship Type="http://schemas.openxmlformats.org/officeDocument/2006/relationships/hyperlink" Id="rId598" Target="https://doi.org/10.3390/rs16234383" TargetMode="External" /><Relationship Type="http://schemas.openxmlformats.org/officeDocument/2006/relationships/hyperlink" Id="rId459" Target="https://doi.org/10.4319/lo.2003.48.1_part_2.0464" TargetMode="External" /><Relationship Type="http://schemas.openxmlformats.org/officeDocument/2006/relationships/hyperlink" Id="rId609" Target="https://doi.org/10.5281/zenodo.3463051" TargetMode="External" /><Relationship Type="http://schemas.openxmlformats.org/officeDocument/2006/relationships/hyperlink" Id="rId470" Target="https://github.com/koalaverse/vip/" TargetMode="External" /><Relationship Type="http://schemas.openxmlformats.org/officeDocument/2006/relationships/hyperlink" Id="rId516" Target="https://github.com/tidymodels/yardstick" TargetMode="External" /><Relationship Type="http://schemas.openxmlformats.org/officeDocument/2006/relationships/hyperlink" Id="rId600" Target="https://github.com/vegandevs/vegan" TargetMode="External" /><Relationship Type="http://schemas.openxmlformats.org/officeDocument/2006/relationships/hyperlink" Id="rId29" Target="https://hygeos.com/en/" TargetMode="External" /><Relationship Type="http://schemas.openxmlformats.org/officeDocument/2006/relationships/hyperlink" Id="rId718" Target="https://imbs-hl.github.io/ranger/" TargetMode="External" /><Relationship Type="http://schemas.openxmlformats.org/officeDocument/2006/relationships/hyperlink" Id="rId373" Target="https://ipbes.net/global-assessment%0Ahttps://ipbes.net/global-assessment-report-biodiversity-ecosystem-services" TargetMode="External" /><Relationship Type="http://schemas.openxmlformats.org/officeDocument/2006/relationships/hyperlink" Id="rId611" Target="https://marinespecies.org/aphia.php?p=sourcedetails&amp;id=303450" TargetMode="External" /><Relationship Type="http://schemas.openxmlformats.org/officeDocument/2006/relationships/hyperlink" Id="rId48" Target="https://maritime-union.org/how-much-trade-is-maritime/?utm_source=chatgpt.com" TargetMode="External" /><Relationship Type="http://schemas.openxmlformats.org/officeDocument/2006/relationships/hyperlink" Id="rId592"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456" Target="https://rsample.tidymodels.org" TargetMode="External" /><Relationship Type="http://schemas.openxmlformats.org/officeDocument/2006/relationships/hyperlink" Id="rId662" Target="https://services.data.shom.fr/geonetwork/srv/fre/catalog.search#/metadata/BATHYMETRIE_LITTO3D_BZH_2018_2021.xml" TargetMode="External" /><Relationship Type="http://schemas.openxmlformats.org/officeDocument/2006/relationships/hyperlink" Id="rId624" Target="https://www.R-project.org/" TargetMode="External" /><Relationship Type="http://schemas.openxmlformats.org/officeDocument/2006/relationships/hyperlink" Id="rId343" Target="https://www.agisoft.com/" TargetMode="External" /><Relationship Type="http://schemas.openxmlformats.org/officeDocument/2006/relationships/hyperlink" Id="rId28" Target="https://www.dlr.de/en" TargetMode="External" /><Relationship Type="http://schemas.openxmlformats.org/officeDocument/2006/relationships/hyperlink" Id="rId492" Target="https://www.ign.fr" TargetMode="External" /><Relationship Type="http://schemas.openxmlformats.org/officeDocument/2006/relationships/hyperlink" Id="rId500" Target="https://www.imo.org" TargetMode="External" /><Relationship Type="http://schemas.openxmlformats.org/officeDocument/2006/relationships/hyperlink" Id="rId496" Target="https://www.itopf.org/knowledge-resources/data-statistics/statistics/" TargetMode="External" /><Relationship Type="http://schemas.openxmlformats.org/officeDocument/2006/relationships/hyperlink" Id="rId622" Target="https://www.qgis.org" TargetMode="External" /><Relationship Type="http://schemas.openxmlformats.org/officeDocument/2006/relationships/hyperlink" Id="rId47" Target="https://www.reuters.com/business/environment/aquafarming-becomes-main-global-source-fish-un-food-agency-says-2024-06-07" TargetMode="External" /><Relationship Type="http://schemas.openxmlformats.org/officeDocument/2006/relationships/hyperlink" Id="rId660" Target="https://www.shom.fr" TargetMode="External" /><Relationship Type="http://schemas.openxmlformats.org/officeDocument/2006/relationships/hyperlink" Id="rId518"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2024-12-29T11:37:58Z</dcterms:created>
  <dcterms:modified xsi:type="dcterms:W3CDTF">2024-12-29T11:37:58Z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